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6CC723" w14:textId="3E74582D" w:rsidR="00046F11" w:rsidRPr="00046F11" w:rsidRDefault="00046F11" w:rsidP="00B905B4">
      <w:pPr>
        <w:spacing w:line="240" w:lineRule="auto"/>
        <w:rPr>
          <w:b/>
          <w:bCs/>
        </w:rPr>
      </w:pPr>
      <w:r w:rsidRPr="00046F11">
        <w:rPr>
          <w:b/>
          <w:bCs/>
        </w:rPr>
        <w:t>FAQ</w:t>
      </w:r>
    </w:p>
    <w:p w14:paraId="0639CFDF" w14:textId="0A356B94" w:rsidR="00046F11" w:rsidRPr="00046F11" w:rsidRDefault="00046F11" w:rsidP="00B905B4">
      <w:pPr>
        <w:spacing w:line="240" w:lineRule="auto"/>
        <w:rPr>
          <w:b/>
          <w:bCs/>
        </w:rPr>
      </w:pPr>
      <w:r w:rsidRPr="00046F11">
        <w:rPr>
          <w:b/>
          <w:bCs/>
        </w:rPr>
        <w:t>Artificial Intelligence in Healthcare Guidelines (</w:t>
      </w:r>
      <w:proofErr w:type="spellStart"/>
      <w:r w:rsidRPr="00046F11">
        <w:rPr>
          <w:b/>
          <w:bCs/>
        </w:rPr>
        <w:t>AIHGle</w:t>
      </w:r>
      <w:proofErr w:type="spellEnd"/>
      <w:r w:rsidRPr="00046F11">
        <w:rPr>
          <w:b/>
          <w:bCs/>
        </w:rPr>
        <w:t xml:space="preserve"> 2.0)</w:t>
      </w:r>
    </w:p>
    <w:p w14:paraId="72E84FFC" w14:textId="77777777" w:rsidR="00046F11" w:rsidRPr="008A4670" w:rsidRDefault="00046F11" w:rsidP="00B905B4">
      <w:pPr>
        <w:spacing w:after="0" w:line="240" w:lineRule="auto"/>
        <w:rPr>
          <w:b/>
          <w:bCs/>
        </w:rPr>
      </w:pPr>
      <w:r w:rsidRPr="008A4670">
        <w:rPr>
          <w:b/>
          <w:bCs/>
        </w:rPr>
        <w:t xml:space="preserve">Q: Do we need to ensure compliance with </w:t>
      </w:r>
      <w:proofErr w:type="spellStart"/>
      <w:r w:rsidRPr="008A4670">
        <w:rPr>
          <w:b/>
          <w:bCs/>
        </w:rPr>
        <w:t>AIHGle</w:t>
      </w:r>
      <w:proofErr w:type="spellEnd"/>
      <w:r w:rsidRPr="008A4670">
        <w:rPr>
          <w:b/>
          <w:bCs/>
        </w:rPr>
        <w:t xml:space="preserve"> 2.0 requirements for developers during premarket submissions?</w:t>
      </w:r>
    </w:p>
    <w:p w14:paraId="32288B5B" w14:textId="77777777" w:rsidR="00046F11" w:rsidRDefault="00046F11" w:rsidP="00B905B4">
      <w:pPr>
        <w:spacing w:after="0" w:line="240" w:lineRule="auto"/>
      </w:pPr>
      <w:r>
        <w:t xml:space="preserve">A: </w:t>
      </w:r>
      <w:proofErr w:type="spellStart"/>
      <w:r>
        <w:t>AIHGle</w:t>
      </w:r>
      <w:proofErr w:type="spellEnd"/>
      <w:r>
        <w:t xml:space="preserve"> 2.0 is intended as a set of recommendations and good practices for healthcare AI developers, deployers, and users to support patient safety and enhance trust in the use of AI in healthcare.</w:t>
      </w:r>
    </w:p>
    <w:p w14:paraId="5617C9C1" w14:textId="77777777" w:rsidR="00B905B4" w:rsidRDefault="00B905B4" w:rsidP="00B905B4">
      <w:pPr>
        <w:spacing w:after="0" w:line="240" w:lineRule="auto"/>
      </w:pPr>
    </w:p>
    <w:p w14:paraId="66E42126" w14:textId="77777777" w:rsidR="00046F11" w:rsidRDefault="00046F11" w:rsidP="00B905B4">
      <w:pPr>
        <w:spacing w:after="0" w:line="240" w:lineRule="auto"/>
      </w:pPr>
      <w:r>
        <w:t xml:space="preserve">For premarket submissions to HSA, compliance with </w:t>
      </w:r>
      <w:proofErr w:type="spellStart"/>
      <w:r>
        <w:t>AIHGle</w:t>
      </w:r>
      <w:proofErr w:type="spellEnd"/>
      <w:r>
        <w:t xml:space="preserve"> 2.0 is not an additional or separate regulatory requirement. The regulatory requirements for AI-enabled medical devices remain unchanged with the publication of </w:t>
      </w:r>
      <w:proofErr w:type="spellStart"/>
      <w:r>
        <w:t>AIHGle</w:t>
      </w:r>
      <w:proofErr w:type="spellEnd"/>
      <w:r>
        <w:t xml:space="preserve"> 2.0.</w:t>
      </w:r>
    </w:p>
    <w:p w14:paraId="4C295EC0" w14:textId="77777777" w:rsidR="00B905B4" w:rsidRDefault="00B905B4" w:rsidP="00B905B4">
      <w:pPr>
        <w:spacing w:after="0" w:line="240" w:lineRule="auto"/>
      </w:pPr>
    </w:p>
    <w:p w14:paraId="084C391B" w14:textId="77777777" w:rsidR="00046F11" w:rsidRDefault="00046F11" w:rsidP="00B905B4">
      <w:pPr>
        <w:spacing w:after="0" w:line="240" w:lineRule="auto"/>
      </w:pPr>
      <w:proofErr w:type="spellStart"/>
      <w:r>
        <w:t>AIHGle</w:t>
      </w:r>
      <w:proofErr w:type="spellEnd"/>
      <w:r>
        <w:t xml:space="preserve"> 2.0 (Section 5.1.3) serves as a signpost directing medical device developers to GL-04 Regulatory Guidelines for Software Medical Devices – a Lifecycle Approach, which contains the detailed regulatory requirements applicable to software and AI-enabled medical devices. You should therefore continue to follow GL-04 and all relevant applicable regulatory requirements when preparing your premarket submission. </w:t>
      </w:r>
      <w:proofErr w:type="spellStart"/>
      <w:r>
        <w:t>AIHGle</w:t>
      </w:r>
      <w:proofErr w:type="spellEnd"/>
      <w:r>
        <w:t xml:space="preserve"> 2.0 may be used as a helpful reference for good practices.</w:t>
      </w:r>
    </w:p>
    <w:p w14:paraId="6F377302" w14:textId="77777777" w:rsidR="00046F11" w:rsidRDefault="00046F11" w:rsidP="00B905B4">
      <w:pPr>
        <w:spacing w:line="240" w:lineRule="auto"/>
      </w:pPr>
    </w:p>
    <w:p w14:paraId="3D440864" w14:textId="77777777" w:rsidR="00046F11" w:rsidRPr="00046F11" w:rsidRDefault="00046F11" w:rsidP="00B905B4">
      <w:pPr>
        <w:spacing w:line="240" w:lineRule="auto"/>
        <w:rPr>
          <w:b/>
          <w:bCs/>
        </w:rPr>
      </w:pPr>
      <w:r w:rsidRPr="00046F11">
        <w:rPr>
          <w:b/>
          <w:bCs/>
        </w:rPr>
        <w:t>Provision of Audit Report for Medical Device Dealer Licence Applications</w:t>
      </w:r>
    </w:p>
    <w:p w14:paraId="7602B71F" w14:textId="77777777" w:rsidR="00046F11" w:rsidRPr="008A4670" w:rsidRDefault="00046F11" w:rsidP="00B905B4">
      <w:pPr>
        <w:spacing w:after="0" w:line="240" w:lineRule="auto"/>
        <w:rPr>
          <w:b/>
          <w:bCs/>
        </w:rPr>
      </w:pPr>
      <w:r w:rsidRPr="008A4670">
        <w:rPr>
          <w:b/>
          <w:bCs/>
        </w:rPr>
        <w:t>Q: Does the requirement to submit an audit report apply to medical device dealer licence renewals?</w:t>
      </w:r>
    </w:p>
    <w:p w14:paraId="3F9BB9EA" w14:textId="77777777" w:rsidR="00046F11" w:rsidRDefault="00046F11" w:rsidP="00B905B4">
      <w:pPr>
        <w:spacing w:after="0" w:line="240" w:lineRule="auto"/>
      </w:pPr>
      <w:r>
        <w:t>A: No. The audit report requirement does not apply to renewal applications. It applies only when submitting a new or amendment dealer licence application.</w:t>
      </w:r>
    </w:p>
    <w:p w14:paraId="54381761" w14:textId="77777777" w:rsidR="00046F11" w:rsidRDefault="00046F11" w:rsidP="00B905B4">
      <w:pPr>
        <w:spacing w:after="0" w:line="240" w:lineRule="auto"/>
      </w:pPr>
    </w:p>
    <w:p w14:paraId="06E5C81F" w14:textId="77777777" w:rsidR="00046F11" w:rsidRPr="008A4670" w:rsidRDefault="00046F11" w:rsidP="00B905B4">
      <w:pPr>
        <w:spacing w:after="0" w:line="240" w:lineRule="auto"/>
        <w:rPr>
          <w:b/>
          <w:bCs/>
        </w:rPr>
      </w:pPr>
      <w:r w:rsidRPr="008A4670">
        <w:rPr>
          <w:b/>
          <w:bCs/>
        </w:rPr>
        <w:t>Q: Is a new audit report required if there is a change in certification body?</w:t>
      </w:r>
    </w:p>
    <w:p w14:paraId="4B52FBED" w14:textId="77777777" w:rsidR="00046F11" w:rsidRDefault="00046F11" w:rsidP="00B905B4">
      <w:pPr>
        <w:spacing w:after="0" w:line="240" w:lineRule="auto"/>
      </w:pPr>
      <w:r>
        <w:t>A: Yes. A change in certification body requires an amendment application to be submitted. Both the new certificate and the new audit report from the incoming certification body will be required.</w:t>
      </w:r>
    </w:p>
    <w:p w14:paraId="49978D29" w14:textId="77777777" w:rsidR="00046F11" w:rsidRDefault="00046F11" w:rsidP="00B905B4">
      <w:pPr>
        <w:spacing w:line="240" w:lineRule="auto"/>
      </w:pPr>
    </w:p>
    <w:p w14:paraId="560F4478" w14:textId="77777777" w:rsidR="00046F11" w:rsidRPr="008A4670" w:rsidRDefault="00046F11" w:rsidP="00B905B4">
      <w:pPr>
        <w:spacing w:after="0" w:line="240" w:lineRule="auto"/>
        <w:rPr>
          <w:b/>
          <w:bCs/>
        </w:rPr>
      </w:pPr>
      <w:r w:rsidRPr="008A4670">
        <w:rPr>
          <w:b/>
          <w:bCs/>
        </w:rPr>
        <w:t>Q: As the audit report is a sensitive document, can we provide the audit certificate instead?</w:t>
      </w:r>
    </w:p>
    <w:p w14:paraId="1FF36CE6" w14:textId="77777777" w:rsidR="00046F11" w:rsidRDefault="00046F11" w:rsidP="00B905B4">
      <w:pPr>
        <w:spacing w:after="0" w:line="240" w:lineRule="auto"/>
      </w:pPr>
      <w:r>
        <w:t>A: HSA has the authority to request audit reports where required. With effect from April, the submission of audit reports will be mandatory to establish regulatory confidence in the adequacy, effectiveness, and integrity of the certified Quality Management System (QMS). The audit certificate alone will not be sufficient.</w:t>
      </w:r>
    </w:p>
    <w:p w14:paraId="58A574BE" w14:textId="6B115EF6" w:rsidR="00B905B4" w:rsidRDefault="00B905B4">
      <w:r>
        <w:br w:type="page"/>
      </w:r>
    </w:p>
    <w:p w14:paraId="5E7C77E9" w14:textId="77777777" w:rsidR="00046F11" w:rsidRPr="00046F11" w:rsidRDefault="00046F11" w:rsidP="00B905B4">
      <w:pPr>
        <w:spacing w:line="240" w:lineRule="auto"/>
        <w:rPr>
          <w:b/>
          <w:bCs/>
        </w:rPr>
      </w:pPr>
      <w:r w:rsidRPr="00046F11">
        <w:rPr>
          <w:b/>
          <w:bCs/>
        </w:rPr>
        <w:lastRenderedPageBreak/>
        <w:t>Regulatory Reliance with Malaysia's Medical Device Authority (MDA)</w:t>
      </w:r>
    </w:p>
    <w:p w14:paraId="68110C25" w14:textId="77777777" w:rsidR="00046F11" w:rsidRPr="008A4670" w:rsidRDefault="00046F11" w:rsidP="008A4670">
      <w:pPr>
        <w:spacing w:after="0" w:line="240" w:lineRule="auto"/>
        <w:rPr>
          <w:b/>
          <w:bCs/>
        </w:rPr>
      </w:pPr>
      <w:r w:rsidRPr="008A4670">
        <w:rPr>
          <w:b/>
          <w:bCs/>
        </w:rPr>
        <w:t>Q: Can Malaysia's MDA be considered one of the two reference agencies required for the Immediate Registration Route for Class B devices?</w:t>
      </w:r>
    </w:p>
    <w:p w14:paraId="6DCB98C1" w14:textId="03762A4A" w:rsidR="00046F11" w:rsidRDefault="00046F11" w:rsidP="008A4670">
      <w:pPr>
        <w:spacing w:after="0" w:line="240" w:lineRule="auto"/>
      </w:pPr>
      <w:r>
        <w:t xml:space="preserve">A: The Malaysia MDA reliance pathway applies to applications under the Full Evaluation Route only. With MDA approval, the application will qualify for the Abridged Evaluation Route. It cannot be used to qualify for the Expedited or Immediate Registration Routes. </w:t>
      </w:r>
    </w:p>
    <w:p w14:paraId="36B00B71" w14:textId="77777777" w:rsidR="00046F11" w:rsidRDefault="00046F11" w:rsidP="00B905B4">
      <w:pPr>
        <w:spacing w:line="240" w:lineRule="auto"/>
      </w:pPr>
    </w:p>
    <w:p w14:paraId="1AB3B41D" w14:textId="77777777" w:rsidR="00046F11" w:rsidRPr="008A4670" w:rsidRDefault="00046F11" w:rsidP="00B905B4">
      <w:pPr>
        <w:spacing w:after="0" w:line="240" w:lineRule="auto"/>
        <w:rPr>
          <w:b/>
          <w:bCs/>
        </w:rPr>
      </w:pPr>
      <w:r w:rsidRPr="008A4670">
        <w:rPr>
          <w:b/>
          <w:bCs/>
        </w:rPr>
        <w:t>Q: Is there a difference in approval timelines between GHTF country approvals and the MDA reliance model?</w:t>
      </w:r>
    </w:p>
    <w:p w14:paraId="660E9FC1" w14:textId="227583A7" w:rsidR="00046F11" w:rsidRDefault="00046F11" w:rsidP="00B905B4">
      <w:pPr>
        <w:spacing w:after="0" w:line="240" w:lineRule="auto"/>
      </w:pPr>
      <w:r>
        <w:t>A: There is no difference in the turnaround time (TAT) for the Abridged Evaluation Route, regardless of whether the application is based on a reference agency approval or MDA regulatory reliance. The TAT is determined by the device's risk class and evaluation route.</w:t>
      </w:r>
    </w:p>
    <w:p w14:paraId="5A138D99" w14:textId="77777777" w:rsidR="00046F11" w:rsidRDefault="00046F11" w:rsidP="00B905B4">
      <w:pPr>
        <w:spacing w:line="240" w:lineRule="auto"/>
      </w:pPr>
    </w:p>
    <w:p w14:paraId="2260DDAD" w14:textId="5D40FBA5" w:rsidR="00046F11" w:rsidRPr="008A4670" w:rsidRDefault="00046F11" w:rsidP="00B905B4">
      <w:pPr>
        <w:spacing w:after="0" w:line="240" w:lineRule="auto"/>
        <w:rPr>
          <w:b/>
          <w:bCs/>
        </w:rPr>
      </w:pPr>
      <w:r w:rsidRPr="008A4670">
        <w:rPr>
          <w:b/>
          <w:bCs/>
        </w:rPr>
        <w:t>Q: Can a product registrant submit a screenshot of the product listing extracted from MDA's MDAR system?</w:t>
      </w:r>
    </w:p>
    <w:p w14:paraId="7924F4EF" w14:textId="2F38C94D" w:rsidR="00046F11" w:rsidRDefault="00046F11" w:rsidP="00B905B4">
      <w:pPr>
        <w:spacing w:after="0" w:line="240" w:lineRule="auto"/>
      </w:pPr>
      <w:r>
        <w:t xml:space="preserve">A: As per GN-15, the required documents are the Medical Device Registration Certificate from MDA and the Certificate of Conformity issued by a Conformity Assessment Body (CAB).  </w:t>
      </w:r>
    </w:p>
    <w:p w14:paraId="19D572C8" w14:textId="77777777" w:rsidR="00046F11" w:rsidRDefault="00046F11" w:rsidP="00B905B4">
      <w:pPr>
        <w:spacing w:line="240" w:lineRule="auto"/>
      </w:pPr>
    </w:p>
    <w:p w14:paraId="2CA1232C" w14:textId="77777777" w:rsidR="00046F11" w:rsidRPr="008A4670" w:rsidRDefault="00046F11" w:rsidP="00B905B4">
      <w:pPr>
        <w:spacing w:after="0" w:line="240" w:lineRule="auto"/>
        <w:rPr>
          <w:b/>
          <w:bCs/>
        </w:rPr>
      </w:pPr>
      <w:r w:rsidRPr="008A4670">
        <w:rPr>
          <w:b/>
          <w:bCs/>
        </w:rPr>
        <w:t>Q: If registration with MDA was via CAB verification rather than full CAB assessment, does this qualify for the Abridged Evaluation Route with HSA?</w:t>
      </w:r>
    </w:p>
    <w:p w14:paraId="6EE0008B" w14:textId="18026C3C" w:rsidR="00046F11" w:rsidRDefault="00046F11" w:rsidP="00B905B4">
      <w:pPr>
        <w:spacing w:after="0" w:line="240" w:lineRule="auto"/>
      </w:pPr>
      <w:r>
        <w:t xml:space="preserve">A: As </w:t>
      </w:r>
      <w:r w:rsidR="008A0D9E">
        <w:t>stated in</w:t>
      </w:r>
      <w:r>
        <w:t xml:space="preserve"> GN-15, only Class B, C, and D medical devices that have undergone full conformity assessment by an MDA-recognised CAB and are registered with MDA — with a labelled use identical to the intended use for marketing in Singapore — will qualify for the Abridged Evaluation Route under the MDA–Singapore Regulatory Reliance Programme.</w:t>
      </w:r>
    </w:p>
    <w:p w14:paraId="5FE37F7E" w14:textId="77777777" w:rsidR="00B905B4" w:rsidRDefault="00B905B4" w:rsidP="00B905B4">
      <w:pPr>
        <w:spacing w:line="240" w:lineRule="auto"/>
      </w:pPr>
    </w:p>
    <w:p w14:paraId="665170CF" w14:textId="6EE84672" w:rsidR="00046F11" w:rsidRPr="00046F11" w:rsidRDefault="00046F11" w:rsidP="00B905B4">
      <w:pPr>
        <w:spacing w:line="240" w:lineRule="auto"/>
        <w:rPr>
          <w:b/>
          <w:bCs/>
        </w:rPr>
      </w:pPr>
      <w:r w:rsidRPr="00046F11">
        <w:rPr>
          <w:b/>
          <w:bCs/>
        </w:rPr>
        <w:t>Change in Risk Classification of COVID-19 IVDs</w:t>
      </w:r>
    </w:p>
    <w:p w14:paraId="5D61A3F1" w14:textId="77777777" w:rsidR="00046F11" w:rsidRPr="008A4670" w:rsidRDefault="00046F11" w:rsidP="00B905B4">
      <w:pPr>
        <w:spacing w:after="0" w:line="240" w:lineRule="auto"/>
        <w:rPr>
          <w:b/>
          <w:bCs/>
        </w:rPr>
      </w:pPr>
      <w:r w:rsidRPr="008A4670">
        <w:rPr>
          <w:b/>
          <w:bCs/>
        </w:rPr>
        <w:t>Q: Following the reclassification of COVID-19 IVDs from Class D to Class C, do registrants need to submit a change notification from 2 June 2026 to update the classification?</w:t>
      </w:r>
    </w:p>
    <w:p w14:paraId="473BA538" w14:textId="77777777" w:rsidR="00046F11" w:rsidRDefault="00046F11" w:rsidP="00B905B4">
      <w:pPr>
        <w:spacing w:after="0" w:line="240" w:lineRule="auto"/>
      </w:pPr>
      <w:r>
        <w:t>A: HSA's Medical Devices Cluster (MDC) will be sending an email to all COVID-19 diagnostic test registrants with detailed information on the risk classification update from Class D to Class C. Please look out for this email for further instructions.</w:t>
      </w:r>
    </w:p>
    <w:p w14:paraId="065D404F" w14:textId="4278D198" w:rsidR="00B905B4" w:rsidRDefault="00B905B4">
      <w:r>
        <w:br w:type="page"/>
      </w:r>
    </w:p>
    <w:p w14:paraId="2D11D3D0" w14:textId="52118D0E" w:rsidR="00046F11" w:rsidRPr="00046F11" w:rsidRDefault="00046F11" w:rsidP="00B905B4">
      <w:pPr>
        <w:spacing w:line="240" w:lineRule="auto"/>
        <w:rPr>
          <w:b/>
          <w:bCs/>
        </w:rPr>
      </w:pPr>
      <w:r w:rsidRPr="00046F11">
        <w:rPr>
          <w:b/>
          <w:bCs/>
        </w:rPr>
        <w:lastRenderedPageBreak/>
        <w:t>IVD Cluster Grouping Restructuring</w:t>
      </w:r>
    </w:p>
    <w:p w14:paraId="1FF7A429" w14:textId="77777777" w:rsidR="00046F11" w:rsidRPr="008A4670" w:rsidRDefault="00046F11" w:rsidP="00B905B4">
      <w:pPr>
        <w:spacing w:after="0" w:line="240" w:lineRule="auto"/>
        <w:rPr>
          <w:b/>
          <w:bCs/>
        </w:rPr>
      </w:pPr>
      <w:r w:rsidRPr="008A4670">
        <w:rPr>
          <w:b/>
          <w:bCs/>
        </w:rPr>
        <w:t>Q: Will existing approved listings grouped under IVD Cluster Grouping be affected by the removal of this grouping methodology?</w:t>
      </w:r>
    </w:p>
    <w:p w14:paraId="0B2A74C7" w14:textId="14832D91" w:rsidR="00046F11" w:rsidRDefault="00046F11" w:rsidP="00B905B4">
      <w:pPr>
        <w:spacing w:after="0" w:line="240" w:lineRule="auto"/>
      </w:pPr>
      <w:r>
        <w:t>A: The removal of IVD Cluster Grouping applies only to new pre-market applications submitted on or after 2 June 2026. Existing approved listings that were grouped under IVD Cluster Grouping remain valid and unaffected.</w:t>
      </w:r>
    </w:p>
    <w:p w14:paraId="094F2F06" w14:textId="77777777" w:rsidR="00B905B4" w:rsidRDefault="00B905B4" w:rsidP="00B905B4">
      <w:pPr>
        <w:spacing w:after="0" w:line="240" w:lineRule="auto"/>
      </w:pPr>
    </w:p>
    <w:p w14:paraId="6F2BD511" w14:textId="77777777" w:rsidR="00046F11" w:rsidRDefault="00046F11" w:rsidP="00B905B4">
      <w:pPr>
        <w:spacing w:line="240" w:lineRule="auto"/>
      </w:pPr>
      <w:r>
        <w:t>However, for Change Notifications to existing approved listings that involve the addition of new models, applicants will need to refer to the updated GN-12-1 and GN-12-2 to determine the appropriate grouping methodology for the new models being added.</w:t>
      </w:r>
    </w:p>
    <w:p w14:paraId="7F99DEB0" w14:textId="77777777" w:rsidR="00046F11" w:rsidRDefault="00046F11" w:rsidP="00B905B4">
      <w:pPr>
        <w:spacing w:line="240" w:lineRule="auto"/>
      </w:pPr>
    </w:p>
    <w:p w14:paraId="4D010D55" w14:textId="77777777" w:rsidR="00046F11" w:rsidRPr="00046F11" w:rsidRDefault="00046F11" w:rsidP="00B905B4">
      <w:pPr>
        <w:spacing w:line="240" w:lineRule="auto"/>
        <w:rPr>
          <w:b/>
          <w:bCs/>
        </w:rPr>
      </w:pPr>
      <w:r w:rsidRPr="00046F11">
        <w:rPr>
          <w:b/>
          <w:bCs/>
        </w:rPr>
        <w:t>Registration Support Initiative for Unregistered Medical Devices Accessed Through the Special Access Route (SAR)</w:t>
      </w:r>
    </w:p>
    <w:p w14:paraId="3C695869" w14:textId="77777777" w:rsidR="00046F11" w:rsidRPr="008A4670" w:rsidRDefault="00046F11" w:rsidP="00B905B4">
      <w:pPr>
        <w:spacing w:after="0" w:line="240" w:lineRule="auto"/>
        <w:rPr>
          <w:b/>
          <w:bCs/>
        </w:rPr>
      </w:pPr>
      <w:r w:rsidRPr="008A4670">
        <w:rPr>
          <w:b/>
          <w:bCs/>
        </w:rPr>
        <w:t>Q: How does the Registration Support Initiative differ from existing Special Access Route applications (GN-26/GN-27), and will it replace the current SAR for clinical use?</w:t>
      </w:r>
    </w:p>
    <w:p w14:paraId="654302B8" w14:textId="4DCCFCE8" w:rsidR="00046F11" w:rsidRDefault="00046F11" w:rsidP="00B905B4">
      <w:pPr>
        <w:spacing w:after="0" w:line="240" w:lineRule="auto"/>
      </w:pPr>
      <w:r>
        <w:t>A: The Registration Support Initiative is a new and separate programme from the existing SAR applications and is not intended to replace GN-26 and GN-27 licences. Rather, it aims to support and encourage the registration of unregistered medical devices that companies have been reluctant to submit for product registration.</w:t>
      </w:r>
      <w:r w:rsidR="00B905B4">
        <w:t xml:space="preserve"> Specifically, it is intended to address devices with</w:t>
      </w:r>
      <w:r>
        <w:t xml:space="preserve"> low sales volumes and </w:t>
      </w:r>
      <w:proofErr w:type="gramStart"/>
      <w:r>
        <w:t>low price</w:t>
      </w:r>
      <w:proofErr w:type="gramEnd"/>
      <w:r>
        <w:t xml:space="preserve"> points, where the cost of registration is seen as disproportionate to the applicable evaluation fees. The initiative also addresses challenges associated with older, well-established medical devices with a long history of clinical use — commonly referred to as legacy medical devices — where the high costs and significant administrative burden of preparing registration dossiers have deterred companies from pursuing formal registration.</w:t>
      </w:r>
    </w:p>
    <w:p w14:paraId="4FDC315D" w14:textId="77777777" w:rsidR="00046F11" w:rsidRDefault="00046F11" w:rsidP="00B905B4">
      <w:pPr>
        <w:spacing w:line="240" w:lineRule="auto"/>
      </w:pPr>
    </w:p>
    <w:p w14:paraId="72E06321" w14:textId="77777777" w:rsidR="00046F11" w:rsidRPr="008A4670" w:rsidRDefault="00046F11" w:rsidP="00B905B4">
      <w:pPr>
        <w:spacing w:after="0" w:line="240" w:lineRule="auto"/>
        <w:rPr>
          <w:b/>
          <w:bCs/>
        </w:rPr>
      </w:pPr>
      <w:r w:rsidRPr="008A4670">
        <w:rPr>
          <w:b/>
          <w:bCs/>
        </w:rPr>
        <w:t>Q: How does the Registration Support Initiative process work?</w:t>
      </w:r>
    </w:p>
    <w:p w14:paraId="509947B1" w14:textId="77777777" w:rsidR="00046F11" w:rsidRDefault="00046F11" w:rsidP="00B905B4">
      <w:pPr>
        <w:spacing w:after="0" w:line="240" w:lineRule="auto"/>
      </w:pPr>
      <w:r>
        <w:t>A: Companies are encouraged to begin engaging with hospitals to identify unregistered medical devices that fulfil the qualification criteria. The relevant forms must be signed by the requesting Qualified Practitioner and endorsed by the Chairman, Medical Board (CMB) or the Academy of Medicine Singapore (AMS).</w:t>
      </w:r>
    </w:p>
    <w:p w14:paraId="6C380FC0" w14:textId="77777777" w:rsidR="00B905B4" w:rsidRDefault="00B905B4" w:rsidP="00B905B4">
      <w:pPr>
        <w:spacing w:after="0" w:line="240" w:lineRule="auto"/>
      </w:pPr>
    </w:p>
    <w:p w14:paraId="3B04FA05" w14:textId="77777777" w:rsidR="00046F11" w:rsidRDefault="00046F11" w:rsidP="00B905B4">
      <w:pPr>
        <w:spacing w:line="240" w:lineRule="auto"/>
      </w:pPr>
      <w:r>
        <w:t xml:space="preserve">Once the submission window opens from June to August, companies may submit their requests via </w:t>
      </w:r>
      <w:proofErr w:type="spellStart"/>
      <w:r>
        <w:t>FormSG</w:t>
      </w:r>
      <w:proofErr w:type="spellEnd"/>
      <w:r>
        <w:t xml:space="preserve"> (weblink to be published on the HSA website). HSA will review submissions and notify companies of their fee waiver eligibility by 31 October. Companies that are eligible will be required to submit their product registration application within one year of receiving notification </w:t>
      </w:r>
      <w:proofErr w:type="gramStart"/>
      <w:r>
        <w:t>in order to</w:t>
      </w:r>
      <w:proofErr w:type="gramEnd"/>
      <w:r>
        <w:t xml:space="preserve"> qualify for the fee waiver. The email notification from HSA should be attached in SHARE at the point of product registration submission.</w:t>
      </w:r>
    </w:p>
    <w:p w14:paraId="7A97DC9C" w14:textId="77777777" w:rsidR="00046F11" w:rsidRDefault="00046F11" w:rsidP="00B905B4">
      <w:pPr>
        <w:spacing w:line="240" w:lineRule="auto"/>
      </w:pPr>
      <w:r>
        <w:t xml:space="preserve">Please note that pre-market applications submitted after 31 October will be subject to the applicable evaluation fees. Companies may wish to consider resubmitting their request in the next annual device identification cycle. The documentary requirements </w:t>
      </w:r>
      <w:r>
        <w:lastRenderedPageBreak/>
        <w:t>for product registration as outlined in GN-15 apply based on the risk classification and evaluation route, and there is no committed turnaround time for these applications.</w:t>
      </w:r>
    </w:p>
    <w:p w14:paraId="2EF73FEA" w14:textId="77777777" w:rsidR="00046F11" w:rsidRDefault="00046F11" w:rsidP="00B905B4">
      <w:pPr>
        <w:spacing w:line="240" w:lineRule="auto"/>
      </w:pPr>
    </w:p>
    <w:p w14:paraId="5E5BB592" w14:textId="77777777" w:rsidR="00046F11" w:rsidRPr="008A4670" w:rsidRDefault="00046F11" w:rsidP="008A4670">
      <w:pPr>
        <w:spacing w:after="0" w:line="240" w:lineRule="auto"/>
        <w:rPr>
          <w:b/>
          <w:bCs/>
        </w:rPr>
      </w:pPr>
      <w:r w:rsidRPr="008A4670">
        <w:rPr>
          <w:b/>
          <w:bCs/>
        </w:rPr>
        <w:t>Q: Is there a definition for "Essential/</w:t>
      </w:r>
      <w:proofErr w:type="gramStart"/>
      <w:r w:rsidRPr="008A4670">
        <w:rPr>
          <w:b/>
          <w:bCs/>
        </w:rPr>
        <w:t>Life-saving</w:t>
      </w:r>
      <w:proofErr w:type="gramEnd"/>
      <w:r w:rsidRPr="008A4670">
        <w:rPr>
          <w:b/>
          <w:bCs/>
        </w:rPr>
        <w:t>" and "Rare Clinical Situations"?</w:t>
      </w:r>
    </w:p>
    <w:p w14:paraId="73AB5CAD" w14:textId="77777777" w:rsidR="00046F11" w:rsidRDefault="00046F11" w:rsidP="008A4670">
      <w:pPr>
        <w:spacing w:after="0" w:line="240" w:lineRule="auto"/>
      </w:pPr>
      <w:r>
        <w:t>A: There is currently no published definition outlining what constitutes "Essential", "</w:t>
      </w:r>
      <w:proofErr w:type="gramStart"/>
      <w:r>
        <w:t>Life-saving</w:t>
      </w:r>
      <w:proofErr w:type="gramEnd"/>
      <w:r>
        <w:t xml:space="preserve">", or "Rare clinical situations". It is the responsibility of Qualified Practitioners to identify the clinical need for such unregistered medical devices and to provide justification for why they are essential and </w:t>
      </w:r>
      <w:proofErr w:type="gramStart"/>
      <w:r>
        <w:t>life-saving</w:t>
      </w:r>
      <w:proofErr w:type="gramEnd"/>
      <w:r>
        <w:t xml:space="preserve"> in rare clinical situations. The proposed use of these devices, along with the accompanying clinical justification, must be endorsed by the CMB for public healthcare institutions, or the AMS for private healthcare institutions.</w:t>
      </w:r>
    </w:p>
    <w:p w14:paraId="100F4738" w14:textId="77777777" w:rsidR="00046F11" w:rsidRDefault="00046F11" w:rsidP="00B905B4">
      <w:pPr>
        <w:spacing w:line="240" w:lineRule="auto"/>
      </w:pPr>
    </w:p>
    <w:p w14:paraId="352BF840" w14:textId="77777777" w:rsidR="00046F11" w:rsidRPr="008A4670" w:rsidRDefault="00046F11" w:rsidP="008A4670">
      <w:pPr>
        <w:spacing w:after="0" w:line="240" w:lineRule="auto"/>
        <w:rPr>
          <w:b/>
          <w:bCs/>
        </w:rPr>
      </w:pPr>
      <w:r w:rsidRPr="008A4670">
        <w:rPr>
          <w:b/>
          <w:bCs/>
        </w:rPr>
        <w:t>Q: Does the Registration Support Initiative apply to fee waivers for Change Notification applications?</w:t>
      </w:r>
    </w:p>
    <w:p w14:paraId="0316FA7E" w14:textId="7133EADB" w:rsidR="00046F11" w:rsidRDefault="00046F11" w:rsidP="008A4670">
      <w:pPr>
        <w:spacing w:after="0" w:line="240" w:lineRule="auto"/>
      </w:pPr>
      <w:r>
        <w:t xml:space="preserve">A: </w:t>
      </w:r>
      <w:r w:rsidR="00CC32A3" w:rsidRPr="00CC32A3">
        <w:t>No. The Registration Support Initiative does not apply to Change Notification applications. It applies only to premarket evaluation fees.</w:t>
      </w:r>
    </w:p>
    <w:p w14:paraId="239453C5" w14:textId="77777777" w:rsidR="00046F11" w:rsidRDefault="00046F11" w:rsidP="00B905B4">
      <w:pPr>
        <w:spacing w:line="240" w:lineRule="auto"/>
      </w:pPr>
    </w:p>
    <w:p w14:paraId="0C5E758D" w14:textId="77777777" w:rsidR="00046F11" w:rsidRPr="008A4670" w:rsidRDefault="00046F11" w:rsidP="008A4670">
      <w:pPr>
        <w:spacing w:after="0" w:line="240" w:lineRule="auto"/>
        <w:rPr>
          <w:b/>
          <w:bCs/>
        </w:rPr>
      </w:pPr>
      <w:r w:rsidRPr="008A4670">
        <w:rPr>
          <w:b/>
          <w:bCs/>
        </w:rPr>
        <w:t>Q: Does this initiative apply only to unregistered medical devices that have previously submitted a Special Access Route application?</w:t>
      </w:r>
    </w:p>
    <w:p w14:paraId="3C6E436E" w14:textId="432599ED" w:rsidR="00046F11" w:rsidRDefault="00046F11" w:rsidP="008A4670">
      <w:pPr>
        <w:spacing w:after="0" w:line="240" w:lineRule="auto"/>
      </w:pPr>
      <w:r>
        <w:t xml:space="preserve">A: Yes. This initiative is currently </w:t>
      </w:r>
      <w:r w:rsidR="00CC32A3">
        <w:t>intended for</w:t>
      </w:r>
      <w:r>
        <w:t xml:space="preserve"> unregistered medical devices that are accessed through the Special Access Route.</w:t>
      </w:r>
    </w:p>
    <w:p w14:paraId="6D1D9A71" w14:textId="77777777" w:rsidR="00046F11" w:rsidRDefault="00046F11" w:rsidP="00B905B4">
      <w:pPr>
        <w:spacing w:line="240" w:lineRule="auto"/>
      </w:pPr>
    </w:p>
    <w:p w14:paraId="23BAC5D5" w14:textId="77777777" w:rsidR="00046F11" w:rsidRPr="008A4670" w:rsidRDefault="00046F11" w:rsidP="008A4670">
      <w:pPr>
        <w:spacing w:after="0" w:line="240" w:lineRule="auto"/>
        <w:rPr>
          <w:b/>
          <w:bCs/>
        </w:rPr>
      </w:pPr>
      <w:r w:rsidRPr="008A4670">
        <w:rPr>
          <w:b/>
          <w:bCs/>
        </w:rPr>
        <w:t>Q: Will this initiative change any of the requirements for current Special Access Route applications?</w:t>
      </w:r>
    </w:p>
    <w:p w14:paraId="07B2E1CD" w14:textId="77777777" w:rsidR="00046F11" w:rsidRDefault="00046F11" w:rsidP="008A4670">
      <w:pPr>
        <w:spacing w:after="0" w:line="240" w:lineRule="auto"/>
      </w:pPr>
      <w:r>
        <w:t>A: No. There are no changes to the pre-requisite requirements for all Special Access Route applications as outlined in Guidance Note GN-35.</w:t>
      </w:r>
    </w:p>
    <w:p w14:paraId="748D298C" w14:textId="77777777" w:rsidR="00046F11" w:rsidRDefault="00046F11" w:rsidP="00B905B4">
      <w:pPr>
        <w:spacing w:line="240" w:lineRule="auto"/>
      </w:pPr>
    </w:p>
    <w:p w14:paraId="667FC2EA" w14:textId="77777777" w:rsidR="00046F11" w:rsidRPr="008A4670" w:rsidRDefault="00046F11" w:rsidP="008A4670">
      <w:pPr>
        <w:spacing w:after="0" w:line="240" w:lineRule="auto"/>
        <w:rPr>
          <w:b/>
          <w:bCs/>
        </w:rPr>
      </w:pPr>
      <w:r w:rsidRPr="008A4670">
        <w:rPr>
          <w:b/>
          <w:bCs/>
        </w:rPr>
        <w:t>Q: Where can I find the forms for the Registration Support Initiative?</w:t>
      </w:r>
    </w:p>
    <w:p w14:paraId="239E21B6" w14:textId="1CD85FF8" w:rsidR="00046F11" w:rsidRDefault="00046F11" w:rsidP="008A4670">
      <w:pPr>
        <w:spacing w:after="0" w:line="240" w:lineRule="auto"/>
      </w:pPr>
      <w:r>
        <w:t xml:space="preserve">A: The forms will be published on the HSA website alongside the existing Special Access Route forms, under the "Special Access Routes" section at </w:t>
      </w:r>
      <w:r w:rsidR="00AF0E81" w:rsidRPr="00AF0E81">
        <w:t>https://www.hsa.gov.sg/medical-devices/registration-of-medical-devices/special-access-routes/</w:t>
      </w:r>
      <w:r w:rsidR="00AF0E81">
        <w:t>.</w:t>
      </w:r>
    </w:p>
    <w:p w14:paraId="19390F66" w14:textId="77777777" w:rsidR="00046F11" w:rsidRDefault="00046F11" w:rsidP="00B905B4">
      <w:pPr>
        <w:spacing w:line="240" w:lineRule="auto"/>
      </w:pPr>
    </w:p>
    <w:p w14:paraId="300A58FB" w14:textId="49B3FE9B" w:rsidR="00046F11" w:rsidRPr="008A4670" w:rsidRDefault="00046F11" w:rsidP="008A4670">
      <w:pPr>
        <w:spacing w:after="0" w:line="240" w:lineRule="auto"/>
        <w:rPr>
          <w:b/>
          <w:bCs/>
        </w:rPr>
      </w:pPr>
      <w:r w:rsidRPr="008A4670">
        <w:rPr>
          <w:b/>
          <w:bCs/>
        </w:rPr>
        <w:t xml:space="preserve">Q: Is there a limit on the number of devices a company can apply for under this </w:t>
      </w:r>
      <w:r w:rsidR="00C15771" w:rsidRPr="008A4670">
        <w:rPr>
          <w:b/>
          <w:bCs/>
        </w:rPr>
        <w:t>Registration Support Initiative</w:t>
      </w:r>
      <w:r w:rsidRPr="008A4670">
        <w:rPr>
          <w:b/>
          <w:bCs/>
        </w:rPr>
        <w:t>?</w:t>
      </w:r>
    </w:p>
    <w:p w14:paraId="6F8B5DF5" w14:textId="50A085C0" w:rsidR="00C15771" w:rsidRDefault="00046F11" w:rsidP="008A4670">
      <w:pPr>
        <w:spacing w:after="0" w:line="240" w:lineRule="auto"/>
      </w:pPr>
      <w:r>
        <w:t>A: There is no limit on the number of devices per company, provided each device independently meets the qualification criteria. However, each device must be separately supported by the healthcare institution with endorsement from the CMB/AMS, and must meet all specified criteria under either Criteria A or Criteria B.</w:t>
      </w:r>
    </w:p>
    <w:p w14:paraId="2C6F4742" w14:textId="77777777" w:rsidR="00046F11" w:rsidRDefault="00046F11" w:rsidP="00B905B4">
      <w:pPr>
        <w:spacing w:line="240" w:lineRule="auto"/>
      </w:pPr>
    </w:p>
    <w:p w14:paraId="31345096" w14:textId="3F0469CD" w:rsidR="008A4670" w:rsidRDefault="008A4670">
      <w:r>
        <w:br w:type="page"/>
      </w:r>
    </w:p>
    <w:p w14:paraId="440D8B5D" w14:textId="193B5E45" w:rsidR="00046F11" w:rsidRPr="008A4670" w:rsidRDefault="00046F11" w:rsidP="008A4670">
      <w:pPr>
        <w:spacing w:after="0" w:line="240" w:lineRule="auto"/>
        <w:rPr>
          <w:b/>
          <w:bCs/>
        </w:rPr>
      </w:pPr>
      <w:r w:rsidRPr="008A4670">
        <w:rPr>
          <w:b/>
          <w:bCs/>
        </w:rPr>
        <w:lastRenderedPageBreak/>
        <w:t>Q: Does each healthcare institution's CMB need to approve and sign the clinical justification form</w:t>
      </w:r>
      <w:r w:rsidR="00C15771" w:rsidRPr="008A4670">
        <w:rPr>
          <w:b/>
          <w:bCs/>
        </w:rPr>
        <w:t xml:space="preserve"> to qualify for the Registration Support Initiative</w:t>
      </w:r>
      <w:r w:rsidRPr="008A4670">
        <w:rPr>
          <w:b/>
          <w:bCs/>
        </w:rPr>
        <w:t>?</w:t>
      </w:r>
    </w:p>
    <w:p w14:paraId="10C05642" w14:textId="21191329" w:rsidR="00046F11" w:rsidRDefault="00046F11" w:rsidP="008A4670">
      <w:pPr>
        <w:spacing w:after="0" w:line="240" w:lineRule="auto"/>
      </w:pPr>
      <w:r>
        <w:t>A: No. Only one healthcare institution needs to provide the clinical justification, and this must be endorsed by the CMB or AMS of that institution</w:t>
      </w:r>
      <w:r w:rsidR="00B66ADE">
        <w:t xml:space="preserve"> to qualify for the Registration Support Initiative</w:t>
      </w:r>
      <w:r>
        <w:t>.</w:t>
      </w:r>
    </w:p>
    <w:p w14:paraId="3DB9D694" w14:textId="77777777" w:rsidR="00046F11" w:rsidRDefault="00046F11" w:rsidP="00B905B4">
      <w:pPr>
        <w:spacing w:line="240" w:lineRule="auto"/>
      </w:pPr>
    </w:p>
    <w:p w14:paraId="1D69B2E0" w14:textId="77777777" w:rsidR="00046F11" w:rsidRPr="008A4670" w:rsidRDefault="00046F11" w:rsidP="008A4670">
      <w:pPr>
        <w:spacing w:after="0" w:line="240" w:lineRule="auto"/>
        <w:rPr>
          <w:b/>
          <w:bCs/>
        </w:rPr>
      </w:pPr>
      <w:r w:rsidRPr="008A4670">
        <w:rPr>
          <w:b/>
          <w:bCs/>
        </w:rPr>
        <w:t>Q: Is there a validity period for the signed SAR initiative forms? For example, if forms were signed and endorsed in November 2026, will HSA accept the submission in the next window?</w:t>
      </w:r>
    </w:p>
    <w:p w14:paraId="49A5B9E8" w14:textId="07FAFFAF" w:rsidR="00046F11" w:rsidRDefault="00046F11" w:rsidP="008A4670">
      <w:pPr>
        <w:spacing w:after="0" w:line="240" w:lineRule="auto"/>
      </w:pPr>
      <w:r>
        <w:t xml:space="preserve">A: </w:t>
      </w:r>
      <w:r w:rsidR="008A0D9E">
        <w:t>If the f</w:t>
      </w:r>
      <w:r>
        <w:t xml:space="preserve">orms </w:t>
      </w:r>
      <w:r w:rsidR="008A0D9E">
        <w:t>were sign</w:t>
      </w:r>
      <w:r w:rsidR="008A0D9E" w:rsidRPr="008A0D9E">
        <w:t xml:space="preserve"> </w:t>
      </w:r>
      <w:r w:rsidR="008A0D9E">
        <w:t xml:space="preserve">and endorsed after the submission window of 1 June to 31 August, it </w:t>
      </w:r>
      <w:r>
        <w:t>remain</w:t>
      </w:r>
      <w:r w:rsidR="008A0D9E">
        <w:t>s</w:t>
      </w:r>
      <w:r>
        <w:t xml:space="preserve"> </w:t>
      </w:r>
      <w:r w:rsidR="008A0D9E">
        <w:t>valid</w:t>
      </w:r>
      <w:r>
        <w:t xml:space="preserve"> for the next submission window</w:t>
      </w:r>
      <w:r w:rsidR="008A0D9E">
        <w:t xml:space="preserve"> the following year.</w:t>
      </w:r>
    </w:p>
    <w:p w14:paraId="75D9DD02" w14:textId="77777777" w:rsidR="00046F11" w:rsidRDefault="00046F11" w:rsidP="00B905B4">
      <w:pPr>
        <w:spacing w:line="240" w:lineRule="auto"/>
      </w:pPr>
    </w:p>
    <w:p w14:paraId="42008CDD" w14:textId="77777777" w:rsidR="00046F11" w:rsidRPr="008A4670" w:rsidRDefault="00046F11" w:rsidP="008A4670">
      <w:pPr>
        <w:spacing w:after="0" w:line="240" w:lineRule="auto"/>
        <w:rPr>
          <w:b/>
          <w:bCs/>
        </w:rPr>
      </w:pPr>
      <w:r w:rsidRPr="008A4670">
        <w:rPr>
          <w:b/>
          <w:bCs/>
        </w:rPr>
        <w:t>Q: Is this an annual initiative?</w:t>
      </w:r>
    </w:p>
    <w:p w14:paraId="7A4AADB5" w14:textId="77777777" w:rsidR="00046F11" w:rsidRDefault="00046F11" w:rsidP="008A4670">
      <w:pPr>
        <w:spacing w:after="0" w:line="240" w:lineRule="auto"/>
      </w:pPr>
      <w:r>
        <w:t>A: Yes. This is a recurring annual initiative. Companies are welcome to submit their requests each year, provided all eligibility criteria are met. The submission window is open from 1 June to 31 August each year.</w:t>
      </w:r>
    </w:p>
    <w:p w14:paraId="064E00C0" w14:textId="77777777" w:rsidR="00046F11" w:rsidRDefault="00046F11" w:rsidP="00B905B4">
      <w:pPr>
        <w:spacing w:line="240" w:lineRule="auto"/>
      </w:pPr>
    </w:p>
    <w:p w14:paraId="08570B59" w14:textId="4D5EAEFA" w:rsidR="00046F11" w:rsidRPr="00C15771" w:rsidRDefault="00046F11" w:rsidP="00B905B4">
      <w:pPr>
        <w:spacing w:line="240" w:lineRule="auto"/>
        <w:rPr>
          <w:b/>
          <w:bCs/>
        </w:rPr>
      </w:pPr>
      <w:r w:rsidRPr="00C15771">
        <w:rPr>
          <w:b/>
          <w:bCs/>
        </w:rPr>
        <w:t>Others</w:t>
      </w:r>
    </w:p>
    <w:p w14:paraId="0E5AF7BA" w14:textId="77777777" w:rsidR="00046F11" w:rsidRPr="008A4670" w:rsidRDefault="00046F11" w:rsidP="008A4670">
      <w:pPr>
        <w:spacing w:after="0" w:line="240" w:lineRule="auto"/>
        <w:rPr>
          <w:b/>
          <w:bCs/>
        </w:rPr>
      </w:pPr>
      <w:r w:rsidRPr="008A4670">
        <w:rPr>
          <w:b/>
          <w:bCs/>
        </w:rPr>
        <w:t>Q: Will the Premarket Screening Checklist be shared and discussed at this seminar, as stated in the original circular?</w:t>
      </w:r>
    </w:p>
    <w:p w14:paraId="3789FB55" w14:textId="77777777" w:rsidR="00046F11" w:rsidRDefault="00046F11" w:rsidP="008A4670">
      <w:pPr>
        <w:spacing w:after="0" w:line="240" w:lineRule="auto"/>
      </w:pPr>
      <w:r>
        <w:t>A: A separate session will be arranged to update the industry on the Premarket Screening Checklist. Further details will be communicated in due course.</w:t>
      </w:r>
    </w:p>
    <w:p w14:paraId="437BB16A" w14:textId="77777777" w:rsidR="00046F11" w:rsidRDefault="00046F11" w:rsidP="00B905B4">
      <w:pPr>
        <w:spacing w:line="240" w:lineRule="auto"/>
      </w:pPr>
    </w:p>
    <w:p w14:paraId="7B51F88F" w14:textId="77777777" w:rsidR="00046F11" w:rsidRPr="008A4670" w:rsidRDefault="00046F11" w:rsidP="008A4670">
      <w:pPr>
        <w:spacing w:after="0" w:line="240" w:lineRule="auto"/>
        <w:rPr>
          <w:b/>
          <w:bCs/>
        </w:rPr>
      </w:pPr>
      <w:r w:rsidRPr="008A4670">
        <w:rPr>
          <w:b/>
          <w:bCs/>
        </w:rPr>
        <w:t>Q: Why are EU and TGA approvals considered as a single regulatory approval?</w:t>
      </w:r>
    </w:p>
    <w:p w14:paraId="263BF022" w14:textId="610F8198" w:rsidR="00F97592" w:rsidRDefault="00046F11" w:rsidP="008A4670">
      <w:pPr>
        <w:spacing w:after="0" w:line="240" w:lineRule="auto"/>
      </w:pPr>
      <w:r>
        <w:t xml:space="preserve">A: The EU and TGA have a Mutual Recognition Agreement (MRA). Where a device has been reviewed or approved under this MRA, approvals from the EU and TGA </w:t>
      </w:r>
      <w:r w:rsidR="00C15771">
        <w:t>will be considered as</w:t>
      </w:r>
      <w:r>
        <w:t xml:space="preserve"> one regulatory approval for the purposes of HSA's evaluation routes.</w:t>
      </w:r>
    </w:p>
    <w:sectPr w:rsidR="00F9759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655D67" w14:textId="77777777" w:rsidR="00A143B2" w:rsidRDefault="00A143B2" w:rsidP="001248E1">
      <w:pPr>
        <w:spacing w:after="0" w:line="240" w:lineRule="auto"/>
      </w:pPr>
      <w:r>
        <w:separator/>
      </w:r>
    </w:p>
  </w:endnote>
  <w:endnote w:type="continuationSeparator" w:id="0">
    <w:p w14:paraId="5C2CC039" w14:textId="77777777" w:rsidR="00A143B2" w:rsidRDefault="00A143B2" w:rsidP="001248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DF8A53" w14:textId="77777777" w:rsidR="00A143B2" w:rsidRDefault="00A143B2" w:rsidP="001248E1">
      <w:pPr>
        <w:spacing w:after="0" w:line="240" w:lineRule="auto"/>
      </w:pPr>
      <w:r>
        <w:separator/>
      </w:r>
    </w:p>
  </w:footnote>
  <w:footnote w:type="continuationSeparator" w:id="0">
    <w:p w14:paraId="322AF1A1" w14:textId="77777777" w:rsidR="00A143B2" w:rsidRDefault="00A143B2" w:rsidP="001248E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6F11"/>
    <w:rsid w:val="00046F11"/>
    <w:rsid w:val="001248E1"/>
    <w:rsid w:val="00157722"/>
    <w:rsid w:val="004316F0"/>
    <w:rsid w:val="007B4B0E"/>
    <w:rsid w:val="007F44E9"/>
    <w:rsid w:val="008A0D9E"/>
    <w:rsid w:val="008A4670"/>
    <w:rsid w:val="00A143B2"/>
    <w:rsid w:val="00AF0E81"/>
    <w:rsid w:val="00B66ADE"/>
    <w:rsid w:val="00B905B4"/>
    <w:rsid w:val="00C15771"/>
    <w:rsid w:val="00CA339F"/>
    <w:rsid w:val="00CC32A3"/>
    <w:rsid w:val="00D51728"/>
    <w:rsid w:val="00E772AB"/>
    <w:rsid w:val="00E92733"/>
    <w:rsid w:val="00F97592"/>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E22812"/>
  <w15:chartTrackingRefBased/>
  <w15:docId w15:val="{E79A8E99-9F96-4BE8-A86A-54109B301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SG"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46F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46F1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46F1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46F1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46F1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46F1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46F1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46F1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46F1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6F1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46F1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46F1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46F1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46F1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46F1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46F1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46F1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46F11"/>
    <w:rPr>
      <w:rFonts w:eastAsiaTheme="majorEastAsia" w:cstheme="majorBidi"/>
      <w:color w:val="272727" w:themeColor="text1" w:themeTint="D8"/>
    </w:rPr>
  </w:style>
  <w:style w:type="paragraph" w:styleId="Title">
    <w:name w:val="Title"/>
    <w:basedOn w:val="Normal"/>
    <w:next w:val="Normal"/>
    <w:link w:val="TitleChar"/>
    <w:uiPriority w:val="10"/>
    <w:qFormat/>
    <w:rsid w:val="00046F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46F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46F1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46F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46F11"/>
    <w:pPr>
      <w:spacing w:before="160"/>
      <w:jc w:val="center"/>
    </w:pPr>
    <w:rPr>
      <w:i/>
      <w:iCs/>
      <w:color w:val="404040" w:themeColor="text1" w:themeTint="BF"/>
    </w:rPr>
  </w:style>
  <w:style w:type="character" w:customStyle="1" w:styleId="QuoteChar">
    <w:name w:val="Quote Char"/>
    <w:basedOn w:val="DefaultParagraphFont"/>
    <w:link w:val="Quote"/>
    <w:uiPriority w:val="29"/>
    <w:rsid w:val="00046F11"/>
    <w:rPr>
      <w:i/>
      <w:iCs/>
      <w:color w:val="404040" w:themeColor="text1" w:themeTint="BF"/>
    </w:rPr>
  </w:style>
  <w:style w:type="paragraph" w:styleId="ListParagraph">
    <w:name w:val="List Paragraph"/>
    <w:basedOn w:val="Normal"/>
    <w:uiPriority w:val="34"/>
    <w:qFormat/>
    <w:rsid w:val="00046F11"/>
    <w:pPr>
      <w:ind w:left="720"/>
      <w:contextualSpacing/>
    </w:pPr>
  </w:style>
  <w:style w:type="character" w:styleId="IntenseEmphasis">
    <w:name w:val="Intense Emphasis"/>
    <w:basedOn w:val="DefaultParagraphFont"/>
    <w:uiPriority w:val="21"/>
    <w:qFormat/>
    <w:rsid w:val="00046F11"/>
    <w:rPr>
      <w:i/>
      <w:iCs/>
      <w:color w:val="0F4761" w:themeColor="accent1" w:themeShade="BF"/>
    </w:rPr>
  </w:style>
  <w:style w:type="paragraph" w:styleId="IntenseQuote">
    <w:name w:val="Intense Quote"/>
    <w:basedOn w:val="Normal"/>
    <w:next w:val="Normal"/>
    <w:link w:val="IntenseQuoteChar"/>
    <w:uiPriority w:val="30"/>
    <w:qFormat/>
    <w:rsid w:val="00046F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46F11"/>
    <w:rPr>
      <w:i/>
      <w:iCs/>
      <w:color w:val="0F4761" w:themeColor="accent1" w:themeShade="BF"/>
    </w:rPr>
  </w:style>
  <w:style w:type="character" w:styleId="IntenseReference">
    <w:name w:val="Intense Reference"/>
    <w:basedOn w:val="DefaultParagraphFont"/>
    <w:uiPriority w:val="32"/>
    <w:qFormat/>
    <w:rsid w:val="00046F11"/>
    <w:rPr>
      <w:b/>
      <w:bCs/>
      <w:smallCaps/>
      <w:color w:val="0F4761" w:themeColor="accent1" w:themeShade="BF"/>
      <w:spacing w:val="5"/>
    </w:rPr>
  </w:style>
  <w:style w:type="paragraph" w:styleId="Header">
    <w:name w:val="header"/>
    <w:basedOn w:val="Normal"/>
    <w:link w:val="HeaderChar"/>
    <w:uiPriority w:val="99"/>
    <w:unhideWhenUsed/>
    <w:rsid w:val="001248E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248E1"/>
  </w:style>
  <w:style w:type="paragraph" w:styleId="Footer">
    <w:name w:val="footer"/>
    <w:basedOn w:val="Normal"/>
    <w:link w:val="FooterChar"/>
    <w:uiPriority w:val="99"/>
    <w:unhideWhenUsed/>
    <w:rsid w:val="001248E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248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484C07-771F-4727-8167-3ECACD4B65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1639</Words>
  <Characters>9347</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Lailing LIEW (HSA)</dc:creator>
  <cp:keywords/>
  <dc:description/>
  <cp:lastModifiedBy>Clement CHUA (HSA)</cp:lastModifiedBy>
  <cp:revision>2</cp:revision>
  <dcterms:created xsi:type="dcterms:W3CDTF">2026-05-28T01:30:00Z</dcterms:created>
  <dcterms:modified xsi:type="dcterms:W3CDTF">2026-05-28T01:30:00Z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434c4c7-833e-41e4-b0ab-cdb227a2f6f7_Enabled">
    <vt:lpwstr>true</vt:lpwstr>
  </property>
  <property fmtid="{D5CDD505-2E9C-101B-9397-08002B2CF9AE}" pid="3" name="MSIP_Label_5434c4c7-833e-41e4-b0ab-cdb227a2f6f7_SetDate">
    <vt:lpwstr>2026-05-28T01:31:17Z</vt:lpwstr>
  </property>
  <property fmtid="{D5CDD505-2E9C-101B-9397-08002B2CF9AE}" pid="4" name="MSIP_Label_5434c4c7-833e-41e4-b0ab-cdb227a2f6f7_Method">
    <vt:lpwstr>Privileged</vt:lpwstr>
  </property>
  <property fmtid="{D5CDD505-2E9C-101B-9397-08002B2CF9AE}" pid="5" name="MSIP_Label_5434c4c7-833e-41e4-b0ab-cdb227a2f6f7_Name">
    <vt:lpwstr>Official (Open)</vt:lpwstr>
  </property>
  <property fmtid="{D5CDD505-2E9C-101B-9397-08002B2CF9AE}" pid="6" name="MSIP_Label_5434c4c7-833e-41e4-b0ab-cdb227a2f6f7_SiteId">
    <vt:lpwstr>0b11c524-9a1c-4e1b-84cb-6336aefc2243</vt:lpwstr>
  </property>
  <property fmtid="{D5CDD505-2E9C-101B-9397-08002B2CF9AE}" pid="7" name="MSIP_Label_5434c4c7-833e-41e4-b0ab-cdb227a2f6f7_ActionId">
    <vt:lpwstr>10c38a00-b50e-439c-9e32-07202dab8935</vt:lpwstr>
  </property>
  <property fmtid="{D5CDD505-2E9C-101B-9397-08002B2CF9AE}" pid="8" name="MSIP_Label_5434c4c7-833e-41e4-b0ab-cdb227a2f6f7_ContentBits">
    <vt:lpwstr>0</vt:lpwstr>
  </property>
</Properties>
</file>