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36420" w14:textId="4E51FBD1" w:rsidR="007F00CF" w:rsidRDefault="29E2BB87" w:rsidP="491A2D91">
      <w:pPr>
        <w:pStyle w:val="Heading1"/>
        <w:spacing w:before="322" w:after="322"/>
        <w:jc w:val="both"/>
        <w:rPr>
          <w:rFonts w:ascii="Arial" w:eastAsia="Arial" w:hAnsi="Arial" w:cs="Arial"/>
          <w:b/>
          <w:bCs/>
          <w:color w:val="auto"/>
          <w:sz w:val="22"/>
          <w:szCs w:val="22"/>
          <w:u w:val="single"/>
        </w:rPr>
      </w:pPr>
      <w:r w:rsidRPr="3876E28A">
        <w:rPr>
          <w:rFonts w:ascii="Arial" w:eastAsia="Arial" w:hAnsi="Arial" w:cs="Arial"/>
          <w:b/>
          <w:bCs/>
          <w:color w:val="auto"/>
          <w:sz w:val="22"/>
          <w:szCs w:val="22"/>
          <w:u w:val="single"/>
        </w:rPr>
        <w:t>Records</w:t>
      </w:r>
      <w:r w:rsidR="41D99F79" w:rsidRPr="3876E28A">
        <w:rPr>
          <w:rFonts w:ascii="Arial" w:eastAsia="Arial" w:hAnsi="Arial" w:cs="Arial"/>
          <w:b/>
          <w:bCs/>
          <w:color w:val="auto"/>
          <w:sz w:val="22"/>
          <w:szCs w:val="22"/>
          <w:u w:val="single"/>
        </w:rPr>
        <w:t xml:space="preserve"> Management</w:t>
      </w:r>
      <w:r w:rsidR="652D2484" w:rsidRPr="3876E28A">
        <w:rPr>
          <w:rFonts w:ascii="Arial" w:eastAsia="Arial" w:hAnsi="Arial" w:cs="Arial"/>
          <w:b/>
          <w:bCs/>
          <w:color w:val="auto"/>
          <w:sz w:val="22"/>
          <w:szCs w:val="22"/>
          <w:u w:val="single"/>
        </w:rPr>
        <w:t xml:space="preserve"> </w:t>
      </w:r>
    </w:p>
    <w:p w14:paraId="4F3A9697" w14:textId="052429A5" w:rsidR="007F00CF" w:rsidRDefault="6C22B8B6" w:rsidP="491A2D91">
      <w:pPr>
        <w:spacing w:after="0"/>
        <w:jc w:val="both"/>
        <w:rPr>
          <w:rFonts w:ascii="Arial" w:eastAsia="Arial" w:hAnsi="Arial" w:cs="Arial"/>
          <w:sz w:val="22"/>
          <w:szCs w:val="22"/>
        </w:rPr>
      </w:pPr>
      <w:r w:rsidRPr="412E8580">
        <w:rPr>
          <w:rFonts w:ascii="Arial" w:eastAsia="Arial" w:hAnsi="Arial" w:cs="Arial"/>
          <w:sz w:val="22"/>
          <w:szCs w:val="22"/>
        </w:rPr>
        <w:t>1.</w:t>
      </w:r>
      <w:r w:rsidR="007F00CF">
        <w:tab/>
      </w:r>
      <w:r w:rsidR="41D99F79" w:rsidRPr="412E8580">
        <w:rPr>
          <w:rFonts w:ascii="Arial" w:eastAsia="Arial" w:hAnsi="Arial" w:cs="Arial"/>
          <w:sz w:val="22"/>
          <w:szCs w:val="22"/>
        </w:rPr>
        <w:t>The aim of records management is to ensure that the integrity, authenticity and readability of the electronic record is maintained for as long as required. Readability relates to the format of the electronic record, while integrity and authenticity is determined by the continued validity of the electronic signature and of other information relating to the signing (“verification data”).</w:t>
      </w:r>
    </w:p>
    <w:p w14:paraId="105E6692" w14:textId="0E1A1278" w:rsidR="007F00CF" w:rsidRDefault="007F00CF" w:rsidP="491A2D91">
      <w:pPr>
        <w:spacing w:after="0"/>
        <w:jc w:val="both"/>
        <w:rPr>
          <w:rFonts w:ascii="Arial" w:eastAsia="Arial" w:hAnsi="Arial" w:cs="Arial"/>
          <w:sz w:val="22"/>
          <w:szCs w:val="22"/>
        </w:rPr>
      </w:pPr>
    </w:p>
    <w:p w14:paraId="202B10B3" w14:textId="628620C7" w:rsidR="007F00CF" w:rsidRDefault="00FE1913" w:rsidP="491A2D91">
      <w:pPr>
        <w:spacing w:after="0"/>
        <w:jc w:val="both"/>
        <w:rPr>
          <w:rFonts w:ascii="Arial" w:eastAsia="Arial" w:hAnsi="Arial" w:cs="Arial"/>
          <w:sz w:val="22"/>
          <w:szCs w:val="22"/>
        </w:rPr>
      </w:pPr>
      <w:r w:rsidRPr="412E8580">
        <w:rPr>
          <w:rFonts w:ascii="Arial" w:eastAsia="Arial" w:hAnsi="Arial" w:cs="Arial"/>
          <w:sz w:val="22"/>
          <w:szCs w:val="22"/>
        </w:rPr>
        <w:t>2.</w:t>
      </w:r>
      <w:r w:rsidR="007F00CF">
        <w:tab/>
      </w:r>
      <w:r w:rsidR="41D99F79" w:rsidRPr="412E8580">
        <w:rPr>
          <w:rFonts w:ascii="Arial" w:eastAsia="Arial" w:hAnsi="Arial" w:cs="Arial"/>
          <w:sz w:val="22"/>
          <w:szCs w:val="22"/>
        </w:rPr>
        <w:t>To this end, Agencies should be concerned with retaining not only the electronic record that required the electronic signature, but also the record of the signature itself and its verification data.</w:t>
      </w:r>
    </w:p>
    <w:p w14:paraId="18DAFCD6" w14:textId="1520AED3" w:rsidR="007F00CF" w:rsidRDefault="007F00CF" w:rsidP="491A2D91">
      <w:pPr>
        <w:spacing w:after="0"/>
        <w:jc w:val="both"/>
        <w:rPr>
          <w:rFonts w:ascii="Arial" w:eastAsia="Arial" w:hAnsi="Arial" w:cs="Arial"/>
          <w:sz w:val="22"/>
          <w:szCs w:val="22"/>
        </w:rPr>
      </w:pPr>
    </w:p>
    <w:p w14:paraId="2A51C0A1" w14:textId="00388EDE" w:rsidR="007F00CF" w:rsidRDefault="52AFA073" w:rsidP="491A2D91">
      <w:pPr>
        <w:spacing w:after="0"/>
        <w:jc w:val="both"/>
        <w:rPr>
          <w:rFonts w:ascii="Arial" w:eastAsia="Arial" w:hAnsi="Arial" w:cs="Arial"/>
          <w:sz w:val="22"/>
          <w:szCs w:val="22"/>
        </w:rPr>
      </w:pPr>
      <w:r w:rsidRPr="412E8580">
        <w:rPr>
          <w:rFonts w:ascii="Arial" w:eastAsia="Arial" w:hAnsi="Arial" w:cs="Arial"/>
          <w:sz w:val="22"/>
          <w:szCs w:val="22"/>
        </w:rPr>
        <w:t>3.</w:t>
      </w:r>
      <w:r w:rsidR="007F00CF">
        <w:tab/>
      </w:r>
      <w:r w:rsidR="41D99F79" w:rsidRPr="412E8580">
        <w:rPr>
          <w:rFonts w:ascii="Arial" w:eastAsia="Arial" w:hAnsi="Arial" w:cs="Arial"/>
          <w:sz w:val="22"/>
          <w:szCs w:val="22"/>
        </w:rPr>
        <w:t xml:space="preserve">Agencies should note that subsidiary legislation that </w:t>
      </w:r>
      <w:proofErr w:type="gramStart"/>
      <w:r w:rsidR="41D99F79" w:rsidRPr="412E8580">
        <w:rPr>
          <w:rFonts w:ascii="Arial" w:eastAsia="Arial" w:hAnsi="Arial" w:cs="Arial"/>
          <w:sz w:val="22"/>
          <w:szCs w:val="22"/>
        </w:rPr>
        <w:t>are</w:t>
      </w:r>
      <w:proofErr w:type="gramEnd"/>
      <w:r w:rsidR="41D99F79" w:rsidRPr="412E8580">
        <w:rPr>
          <w:rFonts w:ascii="Arial" w:eastAsia="Arial" w:hAnsi="Arial" w:cs="Arial"/>
          <w:sz w:val="22"/>
          <w:szCs w:val="22"/>
        </w:rPr>
        <w:t xml:space="preserve"> signed electronically </w:t>
      </w:r>
      <w:proofErr w:type="gramStart"/>
      <w:r w:rsidR="41D99F79" w:rsidRPr="412E8580">
        <w:rPr>
          <w:rFonts w:ascii="Arial" w:eastAsia="Arial" w:hAnsi="Arial" w:cs="Arial"/>
          <w:sz w:val="22"/>
          <w:szCs w:val="22"/>
        </w:rPr>
        <w:t>require</w:t>
      </w:r>
      <w:proofErr w:type="gramEnd"/>
      <w:r w:rsidR="41D99F79" w:rsidRPr="412E8580">
        <w:rPr>
          <w:rFonts w:ascii="Arial" w:eastAsia="Arial" w:hAnsi="Arial" w:cs="Arial"/>
          <w:sz w:val="22"/>
          <w:szCs w:val="22"/>
        </w:rPr>
        <w:t xml:space="preserve"> long-term archival. If migration of the electronically signed subsidiary legislation becomes necessary, Agencies should ensure that the authenticity of the signed subsidiary legislation is not compromised.</w:t>
      </w:r>
    </w:p>
    <w:p w14:paraId="51123C0E" w14:textId="4922D18F" w:rsidR="007F00CF" w:rsidRDefault="41D99F79" w:rsidP="491A2D91">
      <w:pPr>
        <w:spacing w:before="240" w:after="240"/>
        <w:jc w:val="both"/>
        <w:rPr>
          <w:rFonts w:ascii="Arial" w:eastAsia="Arial" w:hAnsi="Arial" w:cs="Arial"/>
          <w:b/>
          <w:bCs/>
          <w:sz w:val="22"/>
          <w:szCs w:val="22"/>
        </w:rPr>
      </w:pPr>
      <w:r w:rsidRPr="412E8580">
        <w:rPr>
          <w:rFonts w:ascii="Arial" w:eastAsia="Arial" w:hAnsi="Arial" w:cs="Arial"/>
          <w:b/>
          <w:bCs/>
          <w:sz w:val="22"/>
          <w:szCs w:val="22"/>
        </w:rPr>
        <w:t>Recommended format for electronic records</w:t>
      </w:r>
    </w:p>
    <w:p w14:paraId="0C0547F4" w14:textId="780C00FE" w:rsidR="007F00CF" w:rsidRDefault="1B0CC2B8" w:rsidP="491A2D91">
      <w:pPr>
        <w:spacing w:before="240" w:after="240"/>
        <w:jc w:val="both"/>
        <w:rPr>
          <w:rFonts w:ascii="Arial" w:eastAsia="Arial" w:hAnsi="Arial" w:cs="Arial"/>
          <w:sz w:val="22"/>
          <w:szCs w:val="22"/>
        </w:rPr>
      </w:pPr>
      <w:r w:rsidRPr="412E8580">
        <w:rPr>
          <w:rFonts w:ascii="Arial" w:eastAsia="Arial" w:hAnsi="Arial" w:cs="Arial"/>
          <w:sz w:val="22"/>
          <w:szCs w:val="22"/>
        </w:rPr>
        <w:t>4.</w:t>
      </w:r>
      <w:r w:rsidR="007F00CF">
        <w:tab/>
      </w:r>
      <w:r w:rsidR="41D99F79" w:rsidRPr="412E8580">
        <w:rPr>
          <w:rFonts w:ascii="Arial" w:eastAsia="Arial" w:hAnsi="Arial" w:cs="Arial"/>
          <w:sz w:val="22"/>
          <w:szCs w:val="22"/>
        </w:rPr>
        <w:t>For electronic records created using in-system approvals and emails:</w:t>
      </w:r>
    </w:p>
    <w:p w14:paraId="3A37FEF0" w14:textId="0B99E397" w:rsidR="007F00CF" w:rsidRDefault="41D99F79" w:rsidP="002310A3">
      <w:pPr>
        <w:pStyle w:val="ListParagraph"/>
        <w:numPr>
          <w:ilvl w:val="1"/>
          <w:numId w:val="4"/>
        </w:numPr>
        <w:spacing w:after="0" w:line="278" w:lineRule="auto"/>
        <w:ind w:left="1037" w:hanging="357"/>
        <w:jc w:val="both"/>
        <w:rPr>
          <w:rFonts w:ascii="Arial" w:eastAsia="Arial" w:hAnsi="Arial" w:cs="Arial"/>
          <w:sz w:val="22"/>
          <w:szCs w:val="22"/>
        </w:rPr>
      </w:pPr>
      <w:r w:rsidRPr="412E8580">
        <w:rPr>
          <w:rFonts w:ascii="Arial" w:eastAsia="Arial" w:hAnsi="Arial" w:cs="Arial"/>
          <w:sz w:val="22"/>
          <w:szCs w:val="22"/>
        </w:rPr>
        <w:t xml:space="preserve">In-system approvals: Agencies should keep system logs and ensure that they can be viewed for the retention period (see para 7). Otherwise, Agencies should export the system logs to an open standard format (e.g. TXT, XML, JSON, </w:t>
      </w:r>
      <w:proofErr w:type="spellStart"/>
      <w:r w:rsidRPr="412E8580">
        <w:rPr>
          <w:rFonts w:ascii="Arial" w:eastAsia="Arial" w:hAnsi="Arial" w:cs="Arial"/>
          <w:sz w:val="22"/>
          <w:szCs w:val="22"/>
        </w:rPr>
        <w:t>etc</w:t>
      </w:r>
      <w:proofErr w:type="spellEnd"/>
      <w:r w:rsidRPr="412E8580">
        <w:rPr>
          <w:rFonts w:ascii="Arial" w:eastAsia="Arial" w:hAnsi="Arial" w:cs="Arial"/>
          <w:sz w:val="22"/>
          <w:szCs w:val="22"/>
        </w:rPr>
        <w:t>).</w:t>
      </w:r>
      <w:r w:rsidR="1A0FD39C" w:rsidRPr="412E8580">
        <w:rPr>
          <w:rFonts w:ascii="Arial" w:eastAsia="Arial" w:hAnsi="Arial" w:cs="Arial"/>
          <w:sz w:val="22"/>
          <w:szCs w:val="22"/>
        </w:rPr>
        <w:t xml:space="preserve"> In the case of </w:t>
      </w:r>
      <w:proofErr w:type="spellStart"/>
      <w:r w:rsidR="1A0FD39C" w:rsidRPr="412E8580">
        <w:rPr>
          <w:rFonts w:ascii="Arial" w:eastAsia="Arial" w:hAnsi="Arial" w:cs="Arial"/>
          <w:sz w:val="22"/>
          <w:szCs w:val="22"/>
        </w:rPr>
        <w:t>FormSG</w:t>
      </w:r>
      <w:proofErr w:type="spellEnd"/>
      <w:r w:rsidR="1A0FD39C" w:rsidRPr="412E8580">
        <w:rPr>
          <w:rFonts w:ascii="Arial" w:eastAsia="Arial" w:hAnsi="Arial" w:cs="Arial"/>
          <w:sz w:val="22"/>
          <w:szCs w:val="22"/>
        </w:rPr>
        <w:t xml:space="preserve">, admins should retain their secret key as the system log would require them to log in to the system to access. </w:t>
      </w:r>
    </w:p>
    <w:p w14:paraId="1587F2D8" w14:textId="78949107" w:rsidR="007F00CF" w:rsidRDefault="41D99F79" w:rsidP="002310A3">
      <w:pPr>
        <w:pStyle w:val="ListParagraph"/>
        <w:numPr>
          <w:ilvl w:val="1"/>
          <w:numId w:val="4"/>
        </w:numPr>
        <w:spacing w:after="0" w:line="278" w:lineRule="auto"/>
        <w:ind w:left="1037" w:hanging="357"/>
        <w:jc w:val="both"/>
        <w:rPr>
          <w:rFonts w:ascii="Arial" w:eastAsia="Arial" w:hAnsi="Arial" w:cs="Arial"/>
          <w:sz w:val="22"/>
          <w:szCs w:val="22"/>
        </w:rPr>
      </w:pPr>
      <w:r w:rsidRPr="412E8580">
        <w:rPr>
          <w:rFonts w:ascii="Arial" w:eastAsia="Arial" w:hAnsi="Arial" w:cs="Arial"/>
          <w:sz w:val="22"/>
          <w:szCs w:val="22"/>
        </w:rPr>
        <w:t xml:space="preserve">Email method: Agencies should save email with the appended signature in Outlook MSG format or PDF format. The record can be saved in one single document </w:t>
      </w:r>
      <w:proofErr w:type="gramStart"/>
      <w:r w:rsidRPr="412E8580">
        <w:rPr>
          <w:rFonts w:ascii="Arial" w:eastAsia="Arial" w:hAnsi="Arial" w:cs="Arial"/>
          <w:sz w:val="22"/>
          <w:szCs w:val="22"/>
        </w:rPr>
        <w:t>as long as</w:t>
      </w:r>
      <w:proofErr w:type="gramEnd"/>
      <w:r w:rsidRPr="412E8580">
        <w:rPr>
          <w:rFonts w:ascii="Arial" w:eastAsia="Arial" w:hAnsi="Arial" w:cs="Arial"/>
          <w:sz w:val="22"/>
          <w:szCs w:val="22"/>
        </w:rPr>
        <w:t xml:space="preserve"> it shows both the approval and the transaction details (i.e. shows the entire email thread).</w:t>
      </w:r>
    </w:p>
    <w:p w14:paraId="081677A2" w14:textId="1B2F34F2" w:rsidR="007F00CF" w:rsidRDefault="0A9A07B0" w:rsidP="491A2D91">
      <w:pPr>
        <w:spacing w:before="240" w:after="240"/>
        <w:jc w:val="both"/>
        <w:rPr>
          <w:rFonts w:ascii="Arial" w:eastAsia="Arial" w:hAnsi="Arial" w:cs="Arial"/>
          <w:sz w:val="22"/>
          <w:szCs w:val="22"/>
        </w:rPr>
      </w:pPr>
      <w:r w:rsidRPr="412E8580">
        <w:rPr>
          <w:rFonts w:ascii="Arial" w:eastAsia="Arial" w:hAnsi="Arial" w:cs="Arial"/>
          <w:sz w:val="22"/>
          <w:szCs w:val="22"/>
        </w:rPr>
        <w:t>5.</w:t>
      </w:r>
      <w:r w:rsidR="007F00CF">
        <w:tab/>
      </w:r>
      <w:r w:rsidR="41D99F79" w:rsidRPr="412E8580">
        <w:rPr>
          <w:rFonts w:ascii="Arial" w:eastAsia="Arial" w:hAnsi="Arial" w:cs="Arial"/>
          <w:sz w:val="22"/>
          <w:szCs w:val="22"/>
        </w:rPr>
        <w:t>For electronic records created using other than through in-system approvals and emails (i.e. signed document format):</w:t>
      </w:r>
    </w:p>
    <w:p w14:paraId="092D81AF" w14:textId="77777777" w:rsidR="004A49A4" w:rsidRDefault="36D44134" w:rsidP="002310A3">
      <w:pPr>
        <w:pStyle w:val="ListParagraph"/>
        <w:numPr>
          <w:ilvl w:val="0"/>
          <w:numId w:val="6"/>
        </w:numPr>
        <w:spacing w:after="0" w:line="278" w:lineRule="auto"/>
        <w:ind w:left="1037" w:hanging="357"/>
        <w:jc w:val="both"/>
        <w:rPr>
          <w:rFonts w:ascii="Arial" w:eastAsia="Arial" w:hAnsi="Arial" w:cs="Arial"/>
          <w:sz w:val="22"/>
          <w:szCs w:val="22"/>
        </w:rPr>
      </w:pPr>
      <w:r w:rsidRPr="79FAD9A5">
        <w:rPr>
          <w:rFonts w:ascii="Arial" w:eastAsia="Arial" w:hAnsi="Arial" w:cs="Arial"/>
          <w:sz w:val="22"/>
          <w:szCs w:val="22"/>
        </w:rPr>
        <w:t>A</w:t>
      </w:r>
      <w:r w:rsidR="04C967CE" w:rsidRPr="79FAD9A5">
        <w:rPr>
          <w:rFonts w:ascii="Arial" w:eastAsia="Arial" w:hAnsi="Arial" w:cs="Arial"/>
          <w:sz w:val="22"/>
          <w:szCs w:val="22"/>
        </w:rPr>
        <w:t>gencies should save the documents in ordinary PDF format. As PDF is an open standard, obsolescence is less of a concern.</w:t>
      </w:r>
    </w:p>
    <w:p w14:paraId="13F900B1" w14:textId="3CC26871" w:rsidR="007F00CF" w:rsidRPr="004A49A4" w:rsidRDefault="04C967CE" w:rsidP="002310A3">
      <w:pPr>
        <w:pStyle w:val="ListParagraph"/>
        <w:numPr>
          <w:ilvl w:val="0"/>
          <w:numId w:val="6"/>
        </w:numPr>
        <w:spacing w:after="0" w:line="278" w:lineRule="auto"/>
        <w:ind w:left="1037" w:hanging="357"/>
        <w:jc w:val="both"/>
        <w:rPr>
          <w:rFonts w:ascii="Arial" w:eastAsia="Arial" w:hAnsi="Arial" w:cs="Arial"/>
          <w:sz w:val="22"/>
          <w:szCs w:val="22"/>
        </w:rPr>
      </w:pPr>
      <w:r w:rsidRPr="004A49A4">
        <w:rPr>
          <w:rFonts w:ascii="Arial" w:eastAsia="Arial" w:hAnsi="Arial" w:cs="Arial"/>
          <w:sz w:val="22"/>
          <w:szCs w:val="22"/>
        </w:rPr>
        <w:t>Previously, PDF Advanced Electronic Signatures – Long-Term Archival (“</w:t>
      </w:r>
      <w:proofErr w:type="spellStart"/>
      <w:r w:rsidRPr="004A49A4">
        <w:rPr>
          <w:rFonts w:ascii="Arial" w:eastAsia="Arial" w:hAnsi="Arial" w:cs="Arial"/>
          <w:sz w:val="22"/>
          <w:szCs w:val="22"/>
        </w:rPr>
        <w:t>PAdES</w:t>
      </w:r>
      <w:proofErr w:type="spellEnd"/>
      <w:r w:rsidRPr="004A49A4">
        <w:rPr>
          <w:rFonts w:ascii="Arial" w:eastAsia="Arial" w:hAnsi="Arial" w:cs="Arial"/>
          <w:sz w:val="22"/>
          <w:szCs w:val="22"/>
        </w:rPr>
        <w:t>-LTA”) format (a sub-type of PDF)</w:t>
      </w:r>
      <w:r w:rsidR="004A49A4">
        <w:rPr>
          <w:rStyle w:val="FootnoteReference"/>
          <w:rFonts w:ascii="Arial" w:eastAsia="Arial" w:hAnsi="Arial" w:cs="Arial"/>
          <w:sz w:val="22"/>
          <w:szCs w:val="22"/>
        </w:rPr>
        <w:footnoteReference w:id="1"/>
      </w:r>
      <w:r w:rsidRPr="004A49A4">
        <w:rPr>
          <w:rFonts w:ascii="Arial" w:eastAsia="Arial" w:hAnsi="Arial" w:cs="Arial"/>
          <w:sz w:val="22"/>
          <w:szCs w:val="22"/>
        </w:rPr>
        <w:t xml:space="preserve"> was recommended for storage purposes as it embeds signature validation information into document, making it verifiable for the long-term. However, this is onerous for Agencies as the WOG Signing Certificate solutions only output in ordinary PDF format, and hence Agencies can only store it in ordinary PDF format. In addition, there may not be a need for such high archival </w:t>
      </w:r>
      <w:r w:rsidRPr="004A49A4">
        <w:rPr>
          <w:rFonts w:ascii="Arial" w:eastAsia="Arial" w:hAnsi="Arial" w:cs="Arial"/>
          <w:sz w:val="22"/>
          <w:szCs w:val="22"/>
        </w:rPr>
        <w:lastRenderedPageBreak/>
        <w:t>standards for documents signed using WOG Signing Certificate, as WOG Signing Certificate can only be used for intra-Government transactions from 1 September 2021 and documents that need to be referenced over decades typically require SES-level assurance. As such, subject to para 9(c) below, agencies can continue using WOG Signing Certificate and storing it in ordinary PDF format, for intra-Government transactions from 1 September 2021.</w:t>
      </w:r>
    </w:p>
    <w:p w14:paraId="11C05CEC" w14:textId="5C63C5C8" w:rsidR="007F00CF" w:rsidRDefault="421E883B" w:rsidP="491A2D91">
      <w:pPr>
        <w:spacing w:before="240" w:after="240"/>
        <w:jc w:val="both"/>
        <w:rPr>
          <w:rFonts w:ascii="Arial" w:eastAsia="Arial" w:hAnsi="Arial" w:cs="Arial"/>
          <w:sz w:val="22"/>
          <w:szCs w:val="22"/>
        </w:rPr>
      </w:pPr>
      <w:r w:rsidRPr="412E8580">
        <w:rPr>
          <w:rFonts w:ascii="Arial" w:eastAsia="Arial" w:hAnsi="Arial" w:cs="Arial"/>
          <w:sz w:val="22"/>
          <w:szCs w:val="22"/>
        </w:rPr>
        <w:t>6.</w:t>
      </w:r>
      <w:r w:rsidR="007F00CF">
        <w:tab/>
      </w:r>
      <w:r w:rsidR="41D99F79" w:rsidRPr="412E8580">
        <w:rPr>
          <w:rFonts w:ascii="Arial" w:eastAsia="Arial" w:hAnsi="Arial" w:cs="Arial"/>
          <w:sz w:val="22"/>
          <w:szCs w:val="22"/>
        </w:rPr>
        <w:t xml:space="preserve">For electronic records signed using Sign with </w:t>
      </w:r>
      <w:proofErr w:type="spellStart"/>
      <w:r w:rsidR="41D99F79" w:rsidRPr="412E8580">
        <w:rPr>
          <w:rFonts w:ascii="Arial" w:eastAsia="Arial" w:hAnsi="Arial" w:cs="Arial"/>
          <w:sz w:val="22"/>
          <w:szCs w:val="22"/>
        </w:rPr>
        <w:t>Singpass</w:t>
      </w:r>
      <w:proofErr w:type="spellEnd"/>
      <w:r w:rsidR="41D99F79" w:rsidRPr="412E8580">
        <w:rPr>
          <w:rFonts w:ascii="Arial" w:eastAsia="Arial" w:hAnsi="Arial" w:cs="Arial"/>
          <w:sz w:val="22"/>
          <w:szCs w:val="22"/>
        </w:rPr>
        <w:t xml:space="preserve">, all methods produce documents in the recommended </w:t>
      </w:r>
      <w:proofErr w:type="spellStart"/>
      <w:r w:rsidR="41D99F79" w:rsidRPr="412E8580">
        <w:rPr>
          <w:rFonts w:ascii="Arial" w:eastAsia="Arial" w:hAnsi="Arial" w:cs="Arial"/>
          <w:sz w:val="22"/>
          <w:szCs w:val="22"/>
        </w:rPr>
        <w:t>PAdES</w:t>
      </w:r>
      <w:proofErr w:type="spellEnd"/>
      <w:r w:rsidR="41D99F79" w:rsidRPr="412E8580">
        <w:rPr>
          <w:rFonts w:ascii="Arial" w:eastAsia="Arial" w:hAnsi="Arial" w:cs="Arial"/>
          <w:sz w:val="22"/>
          <w:szCs w:val="22"/>
        </w:rPr>
        <w:t xml:space="preserve">-LTA format. SNDGO will monitor relevant technological developments, including the security of the cryptographic algorithms underlying Sign with </w:t>
      </w:r>
      <w:proofErr w:type="spellStart"/>
      <w:r w:rsidR="41D99F79" w:rsidRPr="412E8580">
        <w:rPr>
          <w:rFonts w:ascii="Arial" w:eastAsia="Arial" w:hAnsi="Arial" w:cs="Arial"/>
          <w:sz w:val="22"/>
          <w:szCs w:val="22"/>
        </w:rPr>
        <w:t>Singpass</w:t>
      </w:r>
      <w:proofErr w:type="spellEnd"/>
      <w:r w:rsidR="41D99F79" w:rsidRPr="412E8580">
        <w:rPr>
          <w:rFonts w:ascii="Arial" w:eastAsia="Arial" w:hAnsi="Arial" w:cs="Arial"/>
          <w:sz w:val="22"/>
          <w:szCs w:val="22"/>
        </w:rPr>
        <w:t xml:space="preserve"> signature, and will issue new guidelines to Agencies on record migration and security refresh (see para 8) when necessary.</w:t>
      </w:r>
    </w:p>
    <w:p w14:paraId="6D323848" w14:textId="5C2A32BB" w:rsidR="007F00CF" w:rsidRDefault="6ED8367B" w:rsidP="491A2D91">
      <w:pPr>
        <w:spacing w:before="240" w:after="240"/>
        <w:jc w:val="both"/>
        <w:rPr>
          <w:rFonts w:ascii="Arial" w:eastAsia="Arial" w:hAnsi="Arial" w:cs="Arial"/>
          <w:sz w:val="22"/>
          <w:szCs w:val="22"/>
        </w:rPr>
      </w:pPr>
      <w:r w:rsidRPr="412E8580">
        <w:rPr>
          <w:rFonts w:ascii="Arial" w:eastAsia="Arial" w:hAnsi="Arial" w:cs="Arial"/>
          <w:sz w:val="22"/>
          <w:szCs w:val="22"/>
        </w:rPr>
        <w:t>7.</w:t>
      </w:r>
      <w:r w:rsidR="007F00CF">
        <w:tab/>
      </w:r>
      <w:r w:rsidR="41D99F79" w:rsidRPr="412E8580">
        <w:rPr>
          <w:rFonts w:ascii="Arial" w:eastAsia="Arial" w:hAnsi="Arial" w:cs="Arial"/>
          <w:sz w:val="22"/>
          <w:szCs w:val="22"/>
        </w:rPr>
        <w:t>In general, for whichever method chosen, Agencies should maintain the original electronic record and validation data in a secure repository and ensure that the data can be referenced throughout the retention period.</w:t>
      </w:r>
    </w:p>
    <w:p w14:paraId="00EF966F" w14:textId="04434664" w:rsidR="007F00CF" w:rsidRDefault="41D99F79" w:rsidP="491A2D91">
      <w:pPr>
        <w:spacing w:before="240" w:after="240"/>
        <w:jc w:val="both"/>
        <w:rPr>
          <w:rFonts w:ascii="Arial" w:eastAsia="Arial" w:hAnsi="Arial" w:cs="Arial"/>
          <w:b/>
          <w:bCs/>
          <w:sz w:val="22"/>
          <w:szCs w:val="22"/>
        </w:rPr>
      </w:pPr>
      <w:r w:rsidRPr="412E8580">
        <w:rPr>
          <w:rFonts w:ascii="Arial" w:eastAsia="Arial" w:hAnsi="Arial" w:cs="Arial"/>
          <w:b/>
          <w:bCs/>
          <w:sz w:val="22"/>
          <w:szCs w:val="22"/>
        </w:rPr>
        <w:t>Retention period</w:t>
      </w:r>
    </w:p>
    <w:p w14:paraId="6E7FF659" w14:textId="62843245" w:rsidR="007F00CF" w:rsidRDefault="203BB64C" w:rsidP="491A2D91">
      <w:pPr>
        <w:spacing w:after="0"/>
        <w:jc w:val="both"/>
        <w:rPr>
          <w:rFonts w:ascii="Arial" w:eastAsia="Arial" w:hAnsi="Arial" w:cs="Arial"/>
          <w:sz w:val="22"/>
          <w:szCs w:val="22"/>
        </w:rPr>
      </w:pPr>
      <w:r w:rsidRPr="412E8580">
        <w:rPr>
          <w:rFonts w:ascii="Arial" w:eastAsia="Arial" w:hAnsi="Arial" w:cs="Arial"/>
          <w:sz w:val="22"/>
          <w:szCs w:val="22"/>
        </w:rPr>
        <w:t>8.</w:t>
      </w:r>
      <w:r w:rsidR="007F00CF">
        <w:tab/>
      </w:r>
      <w:r w:rsidR="41D99F79" w:rsidRPr="412E8580">
        <w:rPr>
          <w:rFonts w:ascii="Arial" w:eastAsia="Arial" w:hAnsi="Arial" w:cs="Arial"/>
          <w:sz w:val="22"/>
          <w:szCs w:val="22"/>
        </w:rPr>
        <w:t xml:space="preserve">For all electronic records (including those created using Sign with </w:t>
      </w:r>
      <w:proofErr w:type="spellStart"/>
      <w:r w:rsidR="41D99F79" w:rsidRPr="412E8580">
        <w:rPr>
          <w:rFonts w:ascii="Arial" w:eastAsia="Arial" w:hAnsi="Arial" w:cs="Arial"/>
          <w:sz w:val="22"/>
          <w:szCs w:val="22"/>
        </w:rPr>
        <w:t>Singpass</w:t>
      </w:r>
      <w:proofErr w:type="spellEnd"/>
      <w:r w:rsidR="41D99F79" w:rsidRPr="412E8580">
        <w:rPr>
          <w:rFonts w:ascii="Arial" w:eastAsia="Arial" w:hAnsi="Arial" w:cs="Arial"/>
          <w:sz w:val="22"/>
          <w:szCs w:val="22"/>
        </w:rPr>
        <w:t xml:space="preserve"> signatures, other SES or OES), Agencies should first evaluate what retention period is required for a particular transaction, in accordance with the IM on Office Admin (Management of Public Records), and taking reference from current practices for the non-electronic equivalent as a starting point. While the appropriate retention period would ultimately depend on the nature of the specific transaction, these are some factors that should be taken into consideration: </w:t>
      </w:r>
    </w:p>
    <w:p w14:paraId="11F60326" w14:textId="12371A17" w:rsidR="0085272C" w:rsidRDefault="41D99F79" w:rsidP="002310A3">
      <w:pPr>
        <w:pStyle w:val="ListParagraph"/>
        <w:numPr>
          <w:ilvl w:val="0"/>
          <w:numId w:val="8"/>
        </w:numPr>
        <w:spacing w:after="0" w:line="278" w:lineRule="auto"/>
        <w:ind w:left="1037" w:hanging="357"/>
        <w:jc w:val="both"/>
        <w:rPr>
          <w:rFonts w:ascii="Arial" w:eastAsia="Arial" w:hAnsi="Arial" w:cs="Arial"/>
          <w:sz w:val="22"/>
          <w:szCs w:val="22"/>
        </w:rPr>
      </w:pPr>
      <w:r w:rsidRPr="00672FA1">
        <w:rPr>
          <w:rFonts w:ascii="Arial" w:eastAsia="Arial" w:hAnsi="Arial" w:cs="Arial"/>
          <w:sz w:val="22"/>
          <w:szCs w:val="22"/>
        </w:rPr>
        <w:t xml:space="preserve">Whether there is a requirement for the electronic record to be retained for a certain </w:t>
      </w:r>
      <w:proofErr w:type="gramStart"/>
      <w:r w:rsidRPr="00672FA1">
        <w:rPr>
          <w:rFonts w:ascii="Arial" w:eastAsia="Arial" w:hAnsi="Arial" w:cs="Arial"/>
          <w:sz w:val="22"/>
          <w:szCs w:val="22"/>
        </w:rPr>
        <w:t>period of time</w:t>
      </w:r>
      <w:proofErr w:type="gramEnd"/>
      <w:r w:rsidRPr="00672FA1">
        <w:rPr>
          <w:rFonts w:ascii="Arial" w:eastAsia="Arial" w:hAnsi="Arial" w:cs="Arial"/>
          <w:sz w:val="22"/>
          <w:szCs w:val="22"/>
        </w:rPr>
        <w:t>;</w:t>
      </w:r>
    </w:p>
    <w:p w14:paraId="007537EA" w14:textId="10556EBE" w:rsidR="0085272C" w:rsidRDefault="41D99F79" w:rsidP="002310A3">
      <w:pPr>
        <w:pStyle w:val="ListParagraph"/>
        <w:numPr>
          <w:ilvl w:val="0"/>
          <w:numId w:val="8"/>
        </w:numPr>
        <w:spacing w:after="0" w:line="278" w:lineRule="auto"/>
        <w:ind w:left="1037" w:hanging="357"/>
        <w:jc w:val="both"/>
        <w:rPr>
          <w:rFonts w:ascii="Arial" w:eastAsia="Arial" w:hAnsi="Arial" w:cs="Arial"/>
          <w:sz w:val="22"/>
          <w:szCs w:val="22"/>
        </w:rPr>
      </w:pPr>
      <w:r w:rsidRPr="0085272C">
        <w:rPr>
          <w:rFonts w:ascii="Arial" w:eastAsia="Arial" w:hAnsi="Arial" w:cs="Arial"/>
          <w:sz w:val="22"/>
          <w:szCs w:val="22"/>
        </w:rPr>
        <w:t>The nature and purpose of the transaction and the degree of risk and the value of the transaction; and</w:t>
      </w:r>
    </w:p>
    <w:p w14:paraId="51F637D5" w14:textId="73ABA3E4" w:rsidR="007F00CF" w:rsidRPr="0085272C" w:rsidRDefault="41D99F79" w:rsidP="002310A3">
      <w:pPr>
        <w:pStyle w:val="ListParagraph"/>
        <w:numPr>
          <w:ilvl w:val="0"/>
          <w:numId w:val="8"/>
        </w:numPr>
        <w:spacing w:after="0" w:line="278" w:lineRule="auto"/>
        <w:ind w:left="1037" w:hanging="357"/>
        <w:jc w:val="both"/>
        <w:rPr>
          <w:rFonts w:ascii="Arial" w:eastAsia="Arial" w:hAnsi="Arial" w:cs="Arial"/>
          <w:sz w:val="22"/>
          <w:szCs w:val="22"/>
        </w:rPr>
      </w:pPr>
      <w:r w:rsidRPr="0085272C">
        <w:rPr>
          <w:rFonts w:ascii="Arial" w:eastAsia="Arial" w:hAnsi="Arial" w:cs="Arial"/>
          <w:sz w:val="22"/>
          <w:szCs w:val="22"/>
        </w:rPr>
        <w:t>Whether the agency will need to rely on the electronic record in the future as proof in the event of a dispute or legal challenge, and if so, the relevant limitation period for the type of action anticipated, among other factors.</w:t>
      </w:r>
    </w:p>
    <w:p w14:paraId="736F484C" w14:textId="5536E129" w:rsidR="007F00CF" w:rsidRDefault="41D99F79" w:rsidP="491A2D91">
      <w:pPr>
        <w:spacing w:before="240" w:after="240"/>
        <w:jc w:val="both"/>
        <w:rPr>
          <w:rFonts w:ascii="Arial" w:eastAsia="Arial" w:hAnsi="Arial" w:cs="Arial"/>
          <w:b/>
          <w:bCs/>
          <w:sz w:val="22"/>
          <w:szCs w:val="22"/>
        </w:rPr>
      </w:pPr>
      <w:r w:rsidRPr="412E8580">
        <w:rPr>
          <w:rFonts w:ascii="Arial" w:eastAsia="Arial" w:hAnsi="Arial" w:cs="Arial"/>
          <w:b/>
          <w:bCs/>
          <w:sz w:val="22"/>
          <w:szCs w:val="22"/>
        </w:rPr>
        <w:t>Migration of records</w:t>
      </w:r>
    </w:p>
    <w:p w14:paraId="6C3F6B9A" w14:textId="0BFD71F6" w:rsidR="007F00CF" w:rsidRDefault="7BE1C4D0" w:rsidP="491A2D91">
      <w:pPr>
        <w:spacing w:after="0"/>
        <w:jc w:val="both"/>
        <w:rPr>
          <w:rFonts w:ascii="Arial" w:eastAsia="Arial" w:hAnsi="Arial" w:cs="Arial"/>
          <w:sz w:val="22"/>
          <w:szCs w:val="22"/>
        </w:rPr>
      </w:pPr>
      <w:r w:rsidRPr="412E8580">
        <w:rPr>
          <w:rFonts w:ascii="Arial" w:eastAsia="Arial" w:hAnsi="Arial" w:cs="Arial"/>
          <w:sz w:val="22"/>
          <w:szCs w:val="22"/>
        </w:rPr>
        <w:t>9.</w:t>
      </w:r>
      <w:r w:rsidR="007F00CF">
        <w:tab/>
      </w:r>
      <w:r w:rsidR="41D99F79" w:rsidRPr="412E8580">
        <w:rPr>
          <w:rFonts w:ascii="Arial" w:eastAsia="Arial" w:hAnsi="Arial" w:cs="Arial"/>
          <w:sz w:val="22"/>
          <w:szCs w:val="22"/>
        </w:rPr>
        <w:t xml:space="preserve">Where the retention period for a transaction is relatively short, there may not be a need to take extensive steps to manage the records for such transactions. For transactions with longer retention periods, some possible measures may include: </w:t>
      </w:r>
    </w:p>
    <w:p w14:paraId="1076B61A" w14:textId="742E85F2" w:rsidR="007F00CF" w:rsidRDefault="41D99F79" w:rsidP="002310A3">
      <w:pPr>
        <w:pStyle w:val="ListParagraph"/>
        <w:numPr>
          <w:ilvl w:val="1"/>
          <w:numId w:val="5"/>
        </w:numPr>
        <w:spacing w:after="0" w:line="278" w:lineRule="auto"/>
        <w:ind w:left="1037" w:hanging="357"/>
        <w:jc w:val="both"/>
        <w:rPr>
          <w:rFonts w:ascii="Arial" w:eastAsia="Arial" w:hAnsi="Arial" w:cs="Arial"/>
          <w:sz w:val="22"/>
          <w:szCs w:val="22"/>
        </w:rPr>
      </w:pPr>
      <w:r w:rsidRPr="412E8580">
        <w:rPr>
          <w:rFonts w:ascii="Arial" w:eastAsia="Arial" w:hAnsi="Arial" w:cs="Arial"/>
          <w:b/>
          <w:bCs/>
          <w:sz w:val="22"/>
          <w:szCs w:val="22"/>
        </w:rPr>
        <w:t>Migration</w:t>
      </w:r>
      <w:r w:rsidRPr="412E8580">
        <w:rPr>
          <w:rFonts w:ascii="Arial" w:eastAsia="Arial" w:hAnsi="Arial" w:cs="Arial"/>
          <w:sz w:val="22"/>
          <w:szCs w:val="22"/>
        </w:rPr>
        <w:t>: Agencies should ensure that the original records and the accompanying verification data are kept such that it is possible to prove the authenticity of the records. If the records are kept in formats that are becoming obsolete or if the records need to be migrated, Agencies should take measures to ensure that this migration should be done without compromising the authenticity of the records or signatures.</w:t>
      </w:r>
    </w:p>
    <w:p w14:paraId="689529D4" w14:textId="7D2B3CFA" w:rsidR="007F00CF" w:rsidRDefault="41D99F79" w:rsidP="002310A3">
      <w:pPr>
        <w:pStyle w:val="ListParagraph"/>
        <w:numPr>
          <w:ilvl w:val="1"/>
          <w:numId w:val="5"/>
        </w:numPr>
        <w:spacing w:after="0" w:line="278" w:lineRule="auto"/>
        <w:ind w:left="1037" w:hanging="357"/>
        <w:jc w:val="both"/>
        <w:rPr>
          <w:rFonts w:ascii="Arial" w:eastAsia="Arial" w:hAnsi="Arial" w:cs="Arial"/>
          <w:sz w:val="22"/>
          <w:szCs w:val="22"/>
        </w:rPr>
      </w:pPr>
      <w:r w:rsidRPr="412E8580">
        <w:rPr>
          <w:rFonts w:ascii="Arial" w:eastAsia="Arial" w:hAnsi="Arial" w:cs="Arial"/>
          <w:b/>
          <w:bCs/>
          <w:sz w:val="22"/>
          <w:szCs w:val="22"/>
        </w:rPr>
        <w:t>Re-signing</w:t>
      </w:r>
      <w:r w:rsidRPr="412E8580">
        <w:rPr>
          <w:rFonts w:ascii="Arial" w:eastAsia="Arial" w:hAnsi="Arial" w:cs="Arial"/>
          <w:sz w:val="22"/>
          <w:szCs w:val="22"/>
        </w:rPr>
        <w:t xml:space="preserve">: If the record is signed using a digital signature, Agencies may affix a new digital signature on top of the existing signature before the original cryptographic </w:t>
      </w:r>
      <w:r w:rsidRPr="412E8580">
        <w:rPr>
          <w:rFonts w:ascii="Arial" w:eastAsia="Arial" w:hAnsi="Arial" w:cs="Arial"/>
          <w:sz w:val="22"/>
          <w:szCs w:val="22"/>
        </w:rPr>
        <w:lastRenderedPageBreak/>
        <w:t>algorithms lose their ability to remain secure. This new digital signature does not require the original signatory; rather, it is a second layer created by the agency that provides further security together with the earlier digital signature and verification data.</w:t>
      </w:r>
    </w:p>
    <w:p w14:paraId="1150DECA" w14:textId="00A68FA6" w:rsidR="007F00CF" w:rsidRDefault="41D99F79" w:rsidP="002310A3">
      <w:pPr>
        <w:pStyle w:val="ListParagraph"/>
        <w:numPr>
          <w:ilvl w:val="1"/>
          <w:numId w:val="5"/>
        </w:numPr>
        <w:spacing w:after="0" w:line="278" w:lineRule="auto"/>
        <w:ind w:left="1037" w:hanging="357"/>
        <w:jc w:val="both"/>
        <w:rPr>
          <w:rFonts w:ascii="Arial" w:eastAsia="Arial" w:hAnsi="Arial" w:cs="Arial"/>
          <w:sz w:val="22"/>
          <w:szCs w:val="22"/>
        </w:rPr>
      </w:pPr>
      <w:r w:rsidRPr="412E8580">
        <w:rPr>
          <w:rFonts w:ascii="Arial" w:eastAsia="Arial" w:hAnsi="Arial" w:cs="Arial"/>
          <w:b/>
          <w:bCs/>
          <w:sz w:val="22"/>
          <w:szCs w:val="22"/>
        </w:rPr>
        <w:t>Note on WOG Signing Certificate</w:t>
      </w:r>
      <w:r w:rsidRPr="412E8580">
        <w:rPr>
          <w:rFonts w:ascii="Arial" w:eastAsia="Arial" w:hAnsi="Arial" w:cs="Arial"/>
          <w:sz w:val="22"/>
          <w:szCs w:val="22"/>
        </w:rPr>
        <w:t xml:space="preserve">: Records signed using WOG Signing Certificate before </w:t>
      </w:r>
      <w:r w:rsidR="00564C73">
        <w:rPr>
          <w:rFonts w:ascii="Arial" w:eastAsia="Arial" w:hAnsi="Arial" w:cs="Arial"/>
          <w:sz w:val="22"/>
          <w:szCs w:val="22"/>
        </w:rPr>
        <w:t>2021</w:t>
      </w:r>
      <w:r w:rsidRPr="412E8580">
        <w:rPr>
          <w:rFonts w:ascii="Arial" w:eastAsia="Arial" w:hAnsi="Arial" w:cs="Arial"/>
          <w:sz w:val="22"/>
          <w:szCs w:val="22"/>
        </w:rPr>
        <w:t xml:space="preserve"> should be stored in ordinary PDF format. If there is a need for high assurance for its authenticity and integrity or long-term archival for these documents, Agencies should re-sign the document using Sign with </w:t>
      </w:r>
      <w:proofErr w:type="spellStart"/>
      <w:r w:rsidRPr="412E8580">
        <w:rPr>
          <w:rFonts w:ascii="Arial" w:eastAsia="Arial" w:hAnsi="Arial" w:cs="Arial"/>
          <w:sz w:val="22"/>
          <w:szCs w:val="22"/>
        </w:rPr>
        <w:t>Singpass</w:t>
      </w:r>
      <w:proofErr w:type="spellEnd"/>
      <w:r w:rsidRPr="412E8580">
        <w:rPr>
          <w:rFonts w:ascii="Arial" w:eastAsia="Arial" w:hAnsi="Arial" w:cs="Arial"/>
          <w:sz w:val="22"/>
          <w:szCs w:val="22"/>
        </w:rPr>
        <w:t xml:space="preserve"> as described in 5(b). </w:t>
      </w:r>
    </w:p>
    <w:p w14:paraId="2C078E63" w14:textId="6A665BE0" w:rsidR="007F00CF" w:rsidRDefault="007F00CF" w:rsidP="491A2D91">
      <w:pPr>
        <w:jc w:val="both"/>
        <w:rPr>
          <w:rFonts w:ascii="Arial" w:eastAsia="Arial" w:hAnsi="Arial" w:cs="Arial"/>
        </w:rPr>
      </w:pPr>
    </w:p>
    <w:sectPr w:rsidR="007F00CF">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14BDA" w14:textId="77777777" w:rsidR="00EB1CC2" w:rsidRDefault="00EB1CC2" w:rsidP="004A49A4">
      <w:pPr>
        <w:spacing w:after="0" w:line="240" w:lineRule="auto"/>
      </w:pPr>
      <w:r>
        <w:separator/>
      </w:r>
    </w:p>
  </w:endnote>
  <w:endnote w:type="continuationSeparator" w:id="0">
    <w:p w14:paraId="2F256E85" w14:textId="77777777" w:rsidR="00EB1CC2" w:rsidRDefault="00EB1CC2" w:rsidP="004A4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D1C6B" w14:textId="18DCDD6D" w:rsidR="004B7635" w:rsidRDefault="00000000">
    <w:pPr>
      <w:pStyle w:val="Footer"/>
      <w:jc w:val="center"/>
    </w:pPr>
    <w:sdt>
      <w:sdtPr>
        <w:id w:val="862482810"/>
        <w:docPartObj>
          <w:docPartGallery w:val="Page Numbers (Bottom of Page)"/>
          <w:docPartUnique/>
        </w:docPartObj>
      </w:sdtPr>
      <w:sdtEndPr>
        <w:rPr>
          <w:noProof/>
        </w:rPr>
      </w:sdtEndPr>
      <w:sdtContent>
        <w:r w:rsidR="004B7635">
          <w:fldChar w:fldCharType="begin"/>
        </w:r>
        <w:r w:rsidR="004B7635">
          <w:instrText xml:space="preserve"> PAGE   \* MERGEFORMAT </w:instrText>
        </w:r>
        <w:r w:rsidR="004B7635">
          <w:fldChar w:fldCharType="separate"/>
        </w:r>
        <w:r w:rsidR="004B7635">
          <w:rPr>
            <w:noProof/>
          </w:rPr>
          <w:t>2</w:t>
        </w:r>
        <w:r w:rsidR="004B7635">
          <w:rPr>
            <w:noProof/>
          </w:rPr>
          <w:fldChar w:fldCharType="end"/>
        </w:r>
      </w:sdtContent>
    </w:sdt>
  </w:p>
  <w:p w14:paraId="78351D87" w14:textId="77777777" w:rsidR="004B7635" w:rsidRDefault="004B76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8D0F2" w14:textId="77777777" w:rsidR="00EB1CC2" w:rsidRDefault="00EB1CC2" w:rsidP="004A49A4">
      <w:pPr>
        <w:spacing w:after="0" w:line="240" w:lineRule="auto"/>
      </w:pPr>
      <w:r>
        <w:separator/>
      </w:r>
    </w:p>
  </w:footnote>
  <w:footnote w:type="continuationSeparator" w:id="0">
    <w:p w14:paraId="1F429069" w14:textId="77777777" w:rsidR="00EB1CC2" w:rsidRDefault="00EB1CC2" w:rsidP="004A49A4">
      <w:pPr>
        <w:spacing w:after="0" w:line="240" w:lineRule="auto"/>
      </w:pPr>
      <w:r>
        <w:continuationSeparator/>
      </w:r>
    </w:p>
  </w:footnote>
  <w:footnote w:id="1">
    <w:p w14:paraId="770295D0" w14:textId="03C104B7" w:rsidR="004A49A4" w:rsidRDefault="004A49A4">
      <w:pPr>
        <w:pStyle w:val="FootnoteText"/>
      </w:pPr>
      <w:r>
        <w:rPr>
          <w:rStyle w:val="FootnoteReference"/>
        </w:rPr>
        <w:footnoteRef/>
      </w:r>
      <w:r>
        <w:t xml:space="preserve"> </w:t>
      </w:r>
      <w:proofErr w:type="spellStart"/>
      <w:r w:rsidRPr="004A49A4">
        <w:rPr>
          <w:rFonts w:ascii="Arial" w:eastAsia="Arial" w:hAnsi="Arial" w:cs="Arial"/>
          <w:sz w:val="18"/>
          <w:szCs w:val="18"/>
        </w:rPr>
        <w:t>PAdES</w:t>
      </w:r>
      <w:proofErr w:type="spellEnd"/>
      <w:r w:rsidRPr="004A49A4">
        <w:rPr>
          <w:rFonts w:ascii="Arial" w:eastAsia="Arial" w:hAnsi="Arial" w:cs="Arial"/>
          <w:sz w:val="18"/>
          <w:szCs w:val="18"/>
        </w:rPr>
        <w:t xml:space="preserve">-LTV is an older version of </w:t>
      </w:r>
      <w:proofErr w:type="spellStart"/>
      <w:r w:rsidRPr="004A49A4">
        <w:rPr>
          <w:rFonts w:ascii="Arial" w:eastAsia="Arial" w:hAnsi="Arial" w:cs="Arial"/>
          <w:sz w:val="18"/>
          <w:szCs w:val="18"/>
        </w:rPr>
        <w:t>PAdES</w:t>
      </w:r>
      <w:proofErr w:type="spellEnd"/>
      <w:r w:rsidRPr="004A49A4">
        <w:rPr>
          <w:rFonts w:ascii="Arial" w:eastAsia="Arial" w:hAnsi="Arial" w:cs="Arial"/>
          <w:sz w:val="18"/>
          <w:szCs w:val="18"/>
        </w:rPr>
        <w:t xml:space="preserve">-LTA and is accepted as well, but </w:t>
      </w:r>
      <w:proofErr w:type="spellStart"/>
      <w:r w:rsidRPr="004A49A4">
        <w:rPr>
          <w:rFonts w:ascii="Arial" w:eastAsia="Arial" w:hAnsi="Arial" w:cs="Arial"/>
          <w:sz w:val="18"/>
          <w:szCs w:val="18"/>
        </w:rPr>
        <w:t>PAdES</w:t>
      </w:r>
      <w:proofErr w:type="spellEnd"/>
      <w:r w:rsidRPr="004A49A4">
        <w:rPr>
          <w:rFonts w:ascii="Arial" w:eastAsia="Arial" w:hAnsi="Arial" w:cs="Arial"/>
          <w:sz w:val="18"/>
          <w:szCs w:val="18"/>
        </w:rPr>
        <w:t>-LTA remains to be the recommended format.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F110F"/>
    <w:multiLevelType w:val="hybridMultilevel"/>
    <w:tmpl w:val="A4E0D376"/>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 w15:restartNumberingAfterBreak="0">
    <w:nsid w:val="33396F48"/>
    <w:multiLevelType w:val="hybridMultilevel"/>
    <w:tmpl w:val="FFFFFFFF"/>
    <w:lvl w:ilvl="0" w:tplc="B3C4E0D2">
      <w:start w:val="1"/>
      <w:numFmt w:val="decimal"/>
      <w:lvlText w:val="%1."/>
      <w:lvlJc w:val="left"/>
      <w:pPr>
        <w:ind w:left="720" w:hanging="360"/>
      </w:pPr>
    </w:lvl>
    <w:lvl w:ilvl="1" w:tplc="673CFF94">
      <w:start w:val="1"/>
      <w:numFmt w:val="lowerLetter"/>
      <w:lvlText w:val="%2."/>
      <w:lvlJc w:val="left"/>
      <w:pPr>
        <w:ind w:left="1440" w:hanging="360"/>
      </w:pPr>
    </w:lvl>
    <w:lvl w:ilvl="2" w:tplc="6096C2A6">
      <w:start w:val="1"/>
      <w:numFmt w:val="lowerRoman"/>
      <w:lvlText w:val="%3."/>
      <w:lvlJc w:val="right"/>
      <w:pPr>
        <w:ind w:left="2160" w:hanging="180"/>
      </w:pPr>
    </w:lvl>
    <w:lvl w:ilvl="3" w:tplc="DF8A5126">
      <w:start w:val="1"/>
      <w:numFmt w:val="decimal"/>
      <w:lvlText w:val="%4."/>
      <w:lvlJc w:val="left"/>
      <w:pPr>
        <w:ind w:left="2880" w:hanging="360"/>
      </w:pPr>
    </w:lvl>
    <w:lvl w:ilvl="4" w:tplc="B4B28B06">
      <w:start w:val="1"/>
      <w:numFmt w:val="lowerLetter"/>
      <w:lvlText w:val="%5."/>
      <w:lvlJc w:val="left"/>
      <w:pPr>
        <w:ind w:left="3600" w:hanging="360"/>
      </w:pPr>
    </w:lvl>
    <w:lvl w:ilvl="5" w:tplc="E03A8D6C">
      <w:start w:val="1"/>
      <w:numFmt w:val="lowerRoman"/>
      <w:lvlText w:val="%6."/>
      <w:lvlJc w:val="right"/>
      <w:pPr>
        <w:ind w:left="4320" w:hanging="180"/>
      </w:pPr>
    </w:lvl>
    <w:lvl w:ilvl="6" w:tplc="F48C2D1E">
      <w:start w:val="1"/>
      <w:numFmt w:val="decimal"/>
      <w:lvlText w:val="%7."/>
      <w:lvlJc w:val="left"/>
      <w:pPr>
        <w:ind w:left="5040" w:hanging="360"/>
      </w:pPr>
    </w:lvl>
    <w:lvl w:ilvl="7" w:tplc="492CB4FC">
      <w:start w:val="1"/>
      <w:numFmt w:val="lowerLetter"/>
      <w:lvlText w:val="%8."/>
      <w:lvlJc w:val="left"/>
      <w:pPr>
        <w:ind w:left="5760" w:hanging="360"/>
      </w:pPr>
    </w:lvl>
    <w:lvl w:ilvl="8" w:tplc="95080082">
      <w:start w:val="1"/>
      <w:numFmt w:val="lowerRoman"/>
      <w:lvlText w:val="%9."/>
      <w:lvlJc w:val="right"/>
      <w:pPr>
        <w:ind w:left="6480" w:hanging="180"/>
      </w:pPr>
    </w:lvl>
  </w:abstractNum>
  <w:abstractNum w:abstractNumId="2" w15:restartNumberingAfterBreak="0">
    <w:nsid w:val="33470245"/>
    <w:multiLevelType w:val="hybridMultilevel"/>
    <w:tmpl w:val="BA68BAE0"/>
    <w:lvl w:ilvl="0" w:tplc="48090019">
      <w:start w:val="1"/>
      <w:numFmt w:val="lowerLetter"/>
      <w:lvlText w:val="%1."/>
      <w:lvlJc w:val="left"/>
      <w:pPr>
        <w:tabs>
          <w:tab w:val="num" w:pos="360"/>
        </w:tabs>
      </w:pPr>
    </w:lvl>
    <w:lvl w:ilvl="1" w:tplc="36E2032A">
      <w:start w:val="1"/>
      <w:numFmt w:val="lowerLetter"/>
      <w:lvlText w:val="%2."/>
      <w:lvlJc w:val="left"/>
      <w:pPr>
        <w:ind w:left="2160" w:hanging="360"/>
      </w:pPr>
    </w:lvl>
    <w:lvl w:ilvl="2" w:tplc="C4E4D7CA">
      <w:start w:val="1"/>
      <w:numFmt w:val="lowerRoman"/>
      <w:lvlText w:val="%3."/>
      <w:lvlJc w:val="right"/>
      <w:pPr>
        <w:ind w:left="2880" w:hanging="180"/>
      </w:pPr>
    </w:lvl>
    <w:lvl w:ilvl="3" w:tplc="FB023E16">
      <w:start w:val="1"/>
      <w:numFmt w:val="decimal"/>
      <w:lvlText w:val="%4."/>
      <w:lvlJc w:val="left"/>
      <w:pPr>
        <w:ind w:left="3600" w:hanging="360"/>
      </w:pPr>
    </w:lvl>
    <w:lvl w:ilvl="4" w:tplc="5AA83892">
      <w:start w:val="1"/>
      <w:numFmt w:val="lowerLetter"/>
      <w:lvlText w:val="%5."/>
      <w:lvlJc w:val="left"/>
      <w:pPr>
        <w:ind w:left="4320" w:hanging="360"/>
      </w:pPr>
    </w:lvl>
    <w:lvl w:ilvl="5" w:tplc="95463598">
      <w:start w:val="1"/>
      <w:numFmt w:val="lowerRoman"/>
      <w:lvlText w:val="%6."/>
      <w:lvlJc w:val="right"/>
      <w:pPr>
        <w:ind w:left="5040" w:hanging="180"/>
      </w:pPr>
    </w:lvl>
    <w:lvl w:ilvl="6" w:tplc="6C0EE6B8">
      <w:start w:val="1"/>
      <w:numFmt w:val="decimal"/>
      <w:lvlText w:val="%7."/>
      <w:lvlJc w:val="left"/>
      <w:pPr>
        <w:ind w:left="5760" w:hanging="360"/>
      </w:pPr>
    </w:lvl>
    <w:lvl w:ilvl="7" w:tplc="A9941E9E">
      <w:start w:val="1"/>
      <w:numFmt w:val="lowerLetter"/>
      <w:lvlText w:val="%8."/>
      <w:lvlJc w:val="left"/>
      <w:pPr>
        <w:ind w:left="6480" w:hanging="360"/>
      </w:pPr>
    </w:lvl>
    <w:lvl w:ilvl="8" w:tplc="1C7AF4F4">
      <w:start w:val="1"/>
      <w:numFmt w:val="lowerRoman"/>
      <w:lvlText w:val="%9."/>
      <w:lvlJc w:val="right"/>
      <w:pPr>
        <w:ind w:left="7200" w:hanging="180"/>
      </w:pPr>
    </w:lvl>
  </w:abstractNum>
  <w:abstractNum w:abstractNumId="3" w15:restartNumberingAfterBreak="0">
    <w:nsid w:val="334F1824"/>
    <w:multiLevelType w:val="hybridMultilevel"/>
    <w:tmpl w:val="83304876"/>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38657493"/>
    <w:multiLevelType w:val="hybridMultilevel"/>
    <w:tmpl w:val="FFFFFFFF"/>
    <w:lvl w:ilvl="0" w:tplc="05863816">
      <w:start w:val="1"/>
      <w:numFmt w:val="decimal"/>
      <w:lvlText w:val="%1."/>
      <w:lvlJc w:val="left"/>
      <w:pPr>
        <w:ind w:left="720" w:hanging="360"/>
      </w:pPr>
    </w:lvl>
    <w:lvl w:ilvl="1" w:tplc="130E56D2">
      <w:start w:val="1"/>
      <w:numFmt w:val="lowerLetter"/>
      <w:lvlText w:val="%2."/>
      <w:lvlJc w:val="left"/>
      <w:pPr>
        <w:ind w:left="1440" w:hanging="360"/>
      </w:pPr>
    </w:lvl>
    <w:lvl w:ilvl="2" w:tplc="4B44DF0A">
      <w:start w:val="1"/>
      <w:numFmt w:val="lowerRoman"/>
      <w:lvlText w:val="%3."/>
      <w:lvlJc w:val="right"/>
      <w:pPr>
        <w:ind w:left="2160" w:hanging="180"/>
      </w:pPr>
    </w:lvl>
    <w:lvl w:ilvl="3" w:tplc="15CED2E4">
      <w:start w:val="1"/>
      <w:numFmt w:val="decimal"/>
      <w:lvlText w:val="%4."/>
      <w:lvlJc w:val="left"/>
      <w:pPr>
        <w:ind w:left="2880" w:hanging="360"/>
      </w:pPr>
    </w:lvl>
    <w:lvl w:ilvl="4" w:tplc="0F081B18">
      <w:start w:val="1"/>
      <w:numFmt w:val="lowerLetter"/>
      <w:lvlText w:val="%5."/>
      <w:lvlJc w:val="left"/>
      <w:pPr>
        <w:ind w:left="3600" w:hanging="360"/>
      </w:pPr>
    </w:lvl>
    <w:lvl w:ilvl="5" w:tplc="CEF87704">
      <w:start w:val="1"/>
      <w:numFmt w:val="lowerRoman"/>
      <w:lvlText w:val="%6."/>
      <w:lvlJc w:val="right"/>
      <w:pPr>
        <w:ind w:left="4320" w:hanging="180"/>
      </w:pPr>
    </w:lvl>
    <w:lvl w:ilvl="6" w:tplc="6DC0F870">
      <w:start w:val="1"/>
      <w:numFmt w:val="decimal"/>
      <w:lvlText w:val="%7."/>
      <w:lvlJc w:val="left"/>
      <w:pPr>
        <w:ind w:left="5040" w:hanging="360"/>
      </w:pPr>
    </w:lvl>
    <w:lvl w:ilvl="7" w:tplc="8C8C55F4">
      <w:start w:val="1"/>
      <w:numFmt w:val="lowerLetter"/>
      <w:lvlText w:val="%8."/>
      <w:lvlJc w:val="left"/>
      <w:pPr>
        <w:ind w:left="5760" w:hanging="360"/>
      </w:pPr>
    </w:lvl>
    <w:lvl w:ilvl="8" w:tplc="EE327B18">
      <w:start w:val="1"/>
      <w:numFmt w:val="lowerRoman"/>
      <w:lvlText w:val="%9."/>
      <w:lvlJc w:val="right"/>
      <w:pPr>
        <w:ind w:left="6480" w:hanging="180"/>
      </w:pPr>
    </w:lvl>
  </w:abstractNum>
  <w:abstractNum w:abstractNumId="5" w15:restartNumberingAfterBreak="0">
    <w:nsid w:val="4F91B5FF"/>
    <w:multiLevelType w:val="hybridMultilevel"/>
    <w:tmpl w:val="090E9A76"/>
    <w:lvl w:ilvl="0" w:tplc="26448350">
      <w:start w:val="1"/>
      <w:numFmt w:val="decimal"/>
      <w:lvlText w:val="%1."/>
      <w:lvlJc w:val="left"/>
      <w:pPr>
        <w:ind w:left="720" w:hanging="360"/>
      </w:pPr>
    </w:lvl>
    <w:lvl w:ilvl="1" w:tplc="48090019">
      <w:start w:val="1"/>
      <w:numFmt w:val="lowerLetter"/>
      <w:lvlText w:val="%2."/>
      <w:lvlJc w:val="left"/>
      <w:pPr>
        <w:ind w:left="1440" w:hanging="360"/>
      </w:pPr>
    </w:lvl>
    <w:lvl w:ilvl="2" w:tplc="96EA00EE">
      <w:start w:val="1"/>
      <w:numFmt w:val="lowerRoman"/>
      <w:lvlText w:val="%3."/>
      <w:lvlJc w:val="right"/>
      <w:pPr>
        <w:ind w:left="2160" w:hanging="180"/>
      </w:pPr>
    </w:lvl>
    <w:lvl w:ilvl="3" w:tplc="0186B538">
      <w:start w:val="1"/>
      <w:numFmt w:val="decimal"/>
      <w:lvlText w:val="%4."/>
      <w:lvlJc w:val="left"/>
      <w:pPr>
        <w:ind w:left="2880" w:hanging="360"/>
      </w:pPr>
    </w:lvl>
    <w:lvl w:ilvl="4" w:tplc="B85E65E0">
      <w:start w:val="1"/>
      <w:numFmt w:val="lowerLetter"/>
      <w:lvlText w:val="%5."/>
      <w:lvlJc w:val="left"/>
      <w:pPr>
        <w:ind w:left="3600" w:hanging="360"/>
      </w:pPr>
    </w:lvl>
    <w:lvl w:ilvl="5" w:tplc="C4E2A110">
      <w:start w:val="1"/>
      <w:numFmt w:val="lowerRoman"/>
      <w:lvlText w:val="%6."/>
      <w:lvlJc w:val="right"/>
      <w:pPr>
        <w:ind w:left="4320" w:hanging="180"/>
      </w:pPr>
    </w:lvl>
    <w:lvl w:ilvl="6" w:tplc="6F94E266">
      <w:start w:val="1"/>
      <w:numFmt w:val="decimal"/>
      <w:lvlText w:val="%7."/>
      <w:lvlJc w:val="left"/>
      <w:pPr>
        <w:ind w:left="5040" w:hanging="360"/>
      </w:pPr>
    </w:lvl>
    <w:lvl w:ilvl="7" w:tplc="1914797C">
      <w:start w:val="1"/>
      <w:numFmt w:val="lowerLetter"/>
      <w:lvlText w:val="%8."/>
      <w:lvlJc w:val="left"/>
      <w:pPr>
        <w:ind w:left="5760" w:hanging="360"/>
      </w:pPr>
    </w:lvl>
    <w:lvl w:ilvl="8" w:tplc="282A332E">
      <w:start w:val="1"/>
      <w:numFmt w:val="lowerRoman"/>
      <w:lvlText w:val="%9."/>
      <w:lvlJc w:val="right"/>
      <w:pPr>
        <w:ind w:left="6480" w:hanging="180"/>
      </w:pPr>
    </w:lvl>
  </w:abstractNum>
  <w:abstractNum w:abstractNumId="6" w15:restartNumberingAfterBreak="0">
    <w:nsid w:val="5D891964"/>
    <w:multiLevelType w:val="hybridMultilevel"/>
    <w:tmpl w:val="A4E0D376"/>
    <w:lvl w:ilvl="0" w:tplc="48090019">
      <w:start w:val="1"/>
      <w:numFmt w:val="lowerLetter"/>
      <w:lvlText w:val="%1."/>
      <w:lvlJc w:val="left"/>
      <w:pPr>
        <w:ind w:left="1440" w:hanging="360"/>
      </w:pPr>
    </w:lvl>
    <w:lvl w:ilvl="1" w:tplc="48090019" w:tentative="1">
      <w:start w:val="1"/>
      <w:numFmt w:val="lowerLetter"/>
      <w:lvlText w:val="%2."/>
      <w:lvlJc w:val="left"/>
      <w:pPr>
        <w:ind w:left="2160" w:hanging="360"/>
      </w:pPr>
    </w:lvl>
    <w:lvl w:ilvl="2" w:tplc="4809001B" w:tentative="1">
      <w:start w:val="1"/>
      <w:numFmt w:val="lowerRoman"/>
      <w:lvlText w:val="%3."/>
      <w:lvlJc w:val="right"/>
      <w:pPr>
        <w:ind w:left="2880" w:hanging="180"/>
      </w:pPr>
    </w:lvl>
    <w:lvl w:ilvl="3" w:tplc="4809000F" w:tentative="1">
      <w:start w:val="1"/>
      <w:numFmt w:val="decimal"/>
      <w:lvlText w:val="%4."/>
      <w:lvlJc w:val="left"/>
      <w:pPr>
        <w:ind w:left="3600" w:hanging="360"/>
      </w:pPr>
    </w:lvl>
    <w:lvl w:ilvl="4" w:tplc="48090019" w:tentative="1">
      <w:start w:val="1"/>
      <w:numFmt w:val="lowerLetter"/>
      <w:lvlText w:val="%5."/>
      <w:lvlJc w:val="left"/>
      <w:pPr>
        <w:ind w:left="4320" w:hanging="360"/>
      </w:pPr>
    </w:lvl>
    <w:lvl w:ilvl="5" w:tplc="4809001B" w:tentative="1">
      <w:start w:val="1"/>
      <w:numFmt w:val="lowerRoman"/>
      <w:lvlText w:val="%6."/>
      <w:lvlJc w:val="right"/>
      <w:pPr>
        <w:ind w:left="5040" w:hanging="180"/>
      </w:pPr>
    </w:lvl>
    <w:lvl w:ilvl="6" w:tplc="4809000F" w:tentative="1">
      <w:start w:val="1"/>
      <w:numFmt w:val="decimal"/>
      <w:lvlText w:val="%7."/>
      <w:lvlJc w:val="left"/>
      <w:pPr>
        <w:ind w:left="5760" w:hanging="360"/>
      </w:pPr>
    </w:lvl>
    <w:lvl w:ilvl="7" w:tplc="48090019" w:tentative="1">
      <w:start w:val="1"/>
      <w:numFmt w:val="lowerLetter"/>
      <w:lvlText w:val="%8."/>
      <w:lvlJc w:val="left"/>
      <w:pPr>
        <w:ind w:left="6480" w:hanging="360"/>
      </w:pPr>
    </w:lvl>
    <w:lvl w:ilvl="8" w:tplc="4809001B" w:tentative="1">
      <w:start w:val="1"/>
      <w:numFmt w:val="lowerRoman"/>
      <w:lvlText w:val="%9."/>
      <w:lvlJc w:val="right"/>
      <w:pPr>
        <w:ind w:left="7200" w:hanging="180"/>
      </w:pPr>
    </w:lvl>
  </w:abstractNum>
  <w:abstractNum w:abstractNumId="7" w15:restartNumberingAfterBreak="0">
    <w:nsid w:val="7FE77A5D"/>
    <w:multiLevelType w:val="hybridMultilevel"/>
    <w:tmpl w:val="FFFFFFFF"/>
    <w:lvl w:ilvl="0" w:tplc="EB12C83C">
      <w:start w:val="1"/>
      <w:numFmt w:val="decimal"/>
      <w:lvlText w:val="%1."/>
      <w:lvlJc w:val="left"/>
      <w:pPr>
        <w:ind w:left="720" w:hanging="360"/>
      </w:pPr>
    </w:lvl>
    <w:lvl w:ilvl="1" w:tplc="637C1688">
      <w:start w:val="1"/>
      <w:numFmt w:val="lowerLetter"/>
      <w:lvlText w:val="%2."/>
      <w:lvlJc w:val="left"/>
      <w:pPr>
        <w:ind w:left="1440" w:hanging="360"/>
      </w:pPr>
    </w:lvl>
    <w:lvl w:ilvl="2" w:tplc="ADBCABF8">
      <w:start w:val="1"/>
      <w:numFmt w:val="lowerRoman"/>
      <w:lvlText w:val="%3."/>
      <w:lvlJc w:val="right"/>
      <w:pPr>
        <w:ind w:left="2160" w:hanging="180"/>
      </w:pPr>
    </w:lvl>
    <w:lvl w:ilvl="3" w:tplc="BA3049A6">
      <w:start w:val="1"/>
      <w:numFmt w:val="decimal"/>
      <w:lvlText w:val="%4."/>
      <w:lvlJc w:val="left"/>
      <w:pPr>
        <w:ind w:left="2880" w:hanging="360"/>
      </w:pPr>
    </w:lvl>
    <w:lvl w:ilvl="4" w:tplc="C72217E4">
      <w:start w:val="1"/>
      <w:numFmt w:val="lowerLetter"/>
      <w:lvlText w:val="%5."/>
      <w:lvlJc w:val="left"/>
      <w:pPr>
        <w:ind w:left="3600" w:hanging="360"/>
      </w:pPr>
    </w:lvl>
    <w:lvl w:ilvl="5" w:tplc="FEE091B4">
      <w:start w:val="1"/>
      <w:numFmt w:val="lowerRoman"/>
      <w:lvlText w:val="%6."/>
      <w:lvlJc w:val="right"/>
      <w:pPr>
        <w:ind w:left="4320" w:hanging="180"/>
      </w:pPr>
    </w:lvl>
    <w:lvl w:ilvl="6" w:tplc="1C820998">
      <w:start w:val="1"/>
      <w:numFmt w:val="decimal"/>
      <w:lvlText w:val="%7."/>
      <w:lvlJc w:val="left"/>
      <w:pPr>
        <w:ind w:left="5040" w:hanging="360"/>
      </w:pPr>
    </w:lvl>
    <w:lvl w:ilvl="7" w:tplc="8090B1D6">
      <w:start w:val="1"/>
      <w:numFmt w:val="lowerLetter"/>
      <w:lvlText w:val="%8."/>
      <w:lvlJc w:val="left"/>
      <w:pPr>
        <w:ind w:left="5760" w:hanging="360"/>
      </w:pPr>
    </w:lvl>
    <w:lvl w:ilvl="8" w:tplc="E3FA9596">
      <w:start w:val="1"/>
      <w:numFmt w:val="lowerRoman"/>
      <w:lvlText w:val="%9."/>
      <w:lvlJc w:val="right"/>
      <w:pPr>
        <w:ind w:left="6480" w:hanging="180"/>
      </w:pPr>
    </w:lvl>
  </w:abstractNum>
  <w:num w:numId="1" w16cid:durableId="1247767659">
    <w:abstractNumId w:val="2"/>
  </w:num>
  <w:num w:numId="2" w16cid:durableId="1064256904">
    <w:abstractNumId w:val="7"/>
  </w:num>
  <w:num w:numId="3" w16cid:durableId="2079865858">
    <w:abstractNumId w:val="1"/>
  </w:num>
  <w:num w:numId="4" w16cid:durableId="2139033358">
    <w:abstractNumId w:val="5"/>
  </w:num>
  <w:num w:numId="5" w16cid:durableId="618531243">
    <w:abstractNumId w:val="4"/>
  </w:num>
  <w:num w:numId="6" w16cid:durableId="1583829292">
    <w:abstractNumId w:val="6"/>
  </w:num>
  <w:num w:numId="7" w16cid:durableId="1437600769">
    <w:abstractNumId w:val="3"/>
  </w:num>
  <w:num w:numId="8" w16cid:durableId="649791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D0B8D8B"/>
    <w:rsid w:val="001C072F"/>
    <w:rsid w:val="002310A3"/>
    <w:rsid w:val="002A401F"/>
    <w:rsid w:val="00321E13"/>
    <w:rsid w:val="003D6596"/>
    <w:rsid w:val="00400C88"/>
    <w:rsid w:val="004A49A4"/>
    <w:rsid w:val="004B7635"/>
    <w:rsid w:val="004E6DE7"/>
    <w:rsid w:val="00533626"/>
    <w:rsid w:val="00552117"/>
    <w:rsid w:val="00564C73"/>
    <w:rsid w:val="005A4780"/>
    <w:rsid w:val="005B4DAD"/>
    <w:rsid w:val="005E5FD3"/>
    <w:rsid w:val="00600157"/>
    <w:rsid w:val="00642BE3"/>
    <w:rsid w:val="00646BF7"/>
    <w:rsid w:val="00672FA1"/>
    <w:rsid w:val="0067430D"/>
    <w:rsid w:val="006B23FB"/>
    <w:rsid w:val="00725C5F"/>
    <w:rsid w:val="00784D69"/>
    <w:rsid w:val="007D4FDF"/>
    <w:rsid w:val="007F00CF"/>
    <w:rsid w:val="0085272C"/>
    <w:rsid w:val="00855BC4"/>
    <w:rsid w:val="008753F7"/>
    <w:rsid w:val="00890ABC"/>
    <w:rsid w:val="009472AF"/>
    <w:rsid w:val="009E4121"/>
    <w:rsid w:val="00A0516D"/>
    <w:rsid w:val="00A06648"/>
    <w:rsid w:val="00A2793E"/>
    <w:rsid w:val="00A903D1"/>
    <w:rsid w:val="00AF7191"/>
    <w:rsid w:val="00B23AD9"/>
    <w:rsid w:val="00BD28DC"/>
    <w:rsid w:val="00BE54DA"/>
    <w:rsid w:val="00C01D7C"/>
    <w:rsid w:val="00C258FA"/>
    <w:rsid w:val="00CB5667"/>
    <w:rsid w:val="00DA395E"/>
    <w:rsid w:val="00DA7B71"/>
    <w:rsid w:val="00E97DEA"/>
    <w:rsid w:val="00EB1CC2"/>
    <w:rsid w:val="00EC407E"/>
    <w:rsid w:val="00EF4348"/>
    <w:rsid w:val="00F9000E"/>
    <w:rsid w:val="00FE1913"/>
    <w:rsid w:val="04C967CE"/>
    <w:rsid w:val="0501F84E"/>
    <w:rsid w:val="06937BE2"/>
    <w:rsid w:val="0715F16B"/>
    <w:rsid w:val="0A9A07B0"/>
    <w:rsid w:val="0B650BF9"/>
    <w:rsid w:val="110D7DF1"/>
    <w:rsid w:val="1136C6E6"/>
    <w:rsid w:val="11990268"/>
    <w:rsid w:val="120EBDD5"/>
    <w:rsid w:val="1360A3BA"/>
    <w:rsid w:val="1A0FD39C"/>
    <w:rsid w:val="1B0CC2B8"/>
    <w:rsid w:val="203BB64C"/>
    <w:rsid w:val="219CC96B"/>
    <w:rsid w:val="22503AEA"/>
    <w:rsid w:val="279D3C48"/>
    <w:rsid w:val="29E2BB87"/>
    <w:rsid w:val="29FB825D"/>
    <w:rsid w:val="2A6CAA18"/>
    <w:rsid w:val="2EFF89F9"/>
    <w:rsid w:val="315E9740"/>
    <w:rsid w:val="35917314"/>
    <w:rsid w:val="36D44134"/>
    <w:rsid w:val="376F6BFF"/>
    <w:rsid w:val="3876E28A"/>
    <w:rsid w:val="393742C2"/>
    <w:rsid w:val="398D403C"/>
    <w:rsid w:val="3B277872"/>
    <w:rsid w:val="3D933C90"/>
    <w:rsid w:val="407AA843"/>
    <w:rsid w:val="40ED4B2F"/>
    <w:rsid w:val="412E8580"/>
    <w:rsid w:val="41447EFD"/>
    <w:rsid w:val="41D99F79"/>
    <w:rsid w:val="421E883B"/>
    <w:rsid w:val="44C4E90D"/>
    <w:rsid w:val="44D1839F"/>
    <w:rsid w:val="491A2D91"/>
    <w:rsid w:val="49856322"/>
    <w:rsid w:val="4B0D7D61"/>
    <w:rsid w:val="4B8B6CB2"/>
    <w:rsid w:val="4C678D19"/>
    <w:rsid w:val="4E4F6A21"/>
    <w:rsid w:val="52AFA073"/>
    <w:rsid w:val="58041D8B"/>
    <w:rsid w:val="5E625295"/>
    <w:rsid w:val="5EF64C1A"/>
    <w:rsid w:val="5FC32DAF"/>
    <w:rsid w:val="624F186C"/>
    <w:rsid w:val="63FBB3EE"/>
    <w:rsid w:val="652D2484"/>
    <w:rsid w:val="66A3F507"/>
    <w:rsid w:val="67E8A88E"/>
    <w:rsid w:val="689D5A49"/>
    <w:rsid w:val="696A8CF2"/>
    <w:rsid w:val="6B36647D"/>
    <w:rsid w:val="6C22B8B6"/>
    <w:rsid w:val="6D0B8D8B"/>
    <w:rsid w:val="6EC3F047"/>
    <w:rsid w:val="6ED8367B"/>
    <w:rsid w:val="6FBEFE57"/>
    <w:rsid w:val="718459CE"/>
    <w:rsid w:val="73693E4C"/>
    <w:rsid w:val="75522747"/>
    <w:rsid w:val="77C6C136"/>
    <w:rsid w:val="79FAD9A5"/>
    <w:rsid w:val="7BE1C4D0"/>
    <w:rsid w:val="7DC361A7"/>
    <w:rsid w:val="7F79DAE5"/>
    <w:rsid w:val="7F7D65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B8D8B"/>
  <w15:chartTrackingRefBased/>
  <w15:docId w15:val="{B1F630C2-E5BC-40DB-9325-D12E96825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491A2D91"/>
    <w:pPr>
      <w:ind w:left="720"/>
      <w:contextualSpacing/>
    </w:pPr>
  </w:style>
  <w:style w:type="paragraph" w:styleId="FootnoteText">
    <w:name w:val="footnote text"/>
    <w:basedOn w:val="Normal"/>
    <w:link w:val="FootnoteTextChar"/>
    <w:uiPriority w:val="99"/>
    <w:semiHidden/>
    <w:unhideWhenUsed/>
    <w:rsid w:val="004A49A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A49A4"/>
    <w:rPr>
      <w:sz w:val="20"/>
      <w:szCs w:val="20"/>
    </w:rPr>
  </w:style>
  <w:style w:type="character" w:styleId="FootnoteReference">
    <w:name w:val="footnote reference"/>
    <w:basedOn w:val="DefaultParagraphFont"/>
    <w:uiPriority w:val="99"/>
    <w:semiHidden/>
    <w:unhideWhenUsed/>
    <w:rsid w:val="004A49A4"/>
    <w:rPr>
      <w:vertAlign w:val="superscript"/>
    </w:rPr>
  </w:style>
  <w:style w:type="paragraph" w:styleId="Header">
    <w:name w:val="header"/>
    <w:basedOn w:val="Normal"/>
    <w:link w:val="HeaderChar"/>
    <w:uiPriority w:val="99"/>
    <w:unhideWhenUsed/>
    <w:rsid w:val="006001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72C"/>
  </w:style>
  <w:style w:type="paragraph" w:styleId="Footer">
    <w:name w:val="footer"/>
    <w:basedOn w:val="Normal"/>
    <w:link w:val="FooterChar"/>
    <w:uiPriority w:val="99"/>
    <w:unhideWhenUsed/>
    <w:rsid w:val="006001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7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a0e629d-45a2-4b05-aae5-9c2eda733817">
      <Terms xmlns="http://schemas.microsoft.com/office/infopath/2007/PartnerControls"/>
    </lcf76f155ced4ddcb4097134ff3c332f>
    <TaxCatchAll xmlns="262d1e17-9b21-4a23-88b4-dc72bad7be1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C5C171E9B8F574CB5840FD574ECC8B1" ma:contentTypeVersion="15" ma:contentTypeDescription="Create a new document." ma:contentTypeScope="" ma:versionID="c351269ef6e20a6d61d07227598beeda">
  <xsd:schema xmlns:xsd="http://www.w3.org/2001/XMLSchema" xmlns:xs="http://www.w3.org/2001/XMLSchema" xmlns:p="http://schemas.microsoft.com/office/2006/metadata/properties" xmlns:ns2="fa0e629d-45a2-4b05-aae5-9c2eda733817" xmlns:ns3="262d1e17-9b21-4a23-88b4-dc72bad7be15" targetNamespace="http://schemas.microsoft.com/office/2006/metadata/properties" ma:root="true" ma:fieldsID="742d8bdb5aeef170e3da5c03da699712" ns2:_="" ns3:_="">
    <xsd:import namespace="fa0e629d-45a2-4b05-aae5-9c2eda733817"/>
    <xsd:import namespace="262d1e17-9b21-4a23-88b4-dc72bad7be1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0e629d-45a2-4b05-aae5-9c2eda7338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e9d480b-ab17-401a-b600-22ef0398b2a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2d1e17-9b21-4a23-88b4-dc72bad7be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376f138-f199-4069-8715-9080e19b687c}" ma:internalName="TaxCatchAll" ma:showField="CatchAllData" ma:web="262d1e17-9b21-4a23-88b4-dc72bad7be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774785-363C-46CC-8092-4BAF22B0FC7D}">
  <ds:schemaRefs>
    <ds:schemaRef ds:uri="http://schemas.microsoft.com/office/2006/metadata/properties"/>
    <ds:schemaRef ds:uri="http://schemas.microsoft.com/office/infopath/2007/PartnerControls"/>
    <ds:schemaRef ds:uri="fa0e629d-45a2-4b05-aae5-9c2eda733817"/>
    <ds:schemaRef ds:uri="262d1e17-9b21-4a23-88b4-dc72bad7be15"/>
  </ds:schemaRefs>
</ds:datastoreItem>
</file>

<file path=customXml/itemProps2.xml><?xml version="1.0" encoding="utf-8"?>
<ds:datastoreItem xmlns:ds="http://schemas.openxmlformats.org/officeDocument/2006/customXml" ds:itemID="{F47C060D-CC35-4665-A1F1-8273D6A60DBD}">
  <ds:schemaRefs>
    <ds:schemaRef ds:uri="http://schemas.microsoft.com/sharepoint/v3/contenttype/forms"/>
  </ds:schemaRefs>
</ds:datastoreItem>
</file>

<file path=customXml/itemProps3.xml><?xml version="1.0" encoding="utf-8"?>
<ds:datastoreItem xmlns:ds="http://schemas.openxmlformats.org/officeDocument/2006/customXml" ds:itemID="{C0E1AA8C-8DCA-4AF7-8612-A21878267EFC}">
  <ds:schemaRefs>
    <ds:schemaRef ds:uri="http://schemas.openxmlformats.org/officeDocument/2006/bibliography"/>
  </ds:schemaRefs>
</ds:datastoreItem>
</file>

<file path=customXml/itemProps4.xml><?xml version="1.0" encoding="utf-8"?>
<ds:datastoreItem xmlns:ds="http://schemas.openxmlformats.org/officeDocument/2006/customXml" ds:itemID="{9FDC1DCE-10B5-4595-A2C7-359F514522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0e629d-45a2-4b05-aae5-9c2eda733817"/>
    <ds:schemaRef ds:uri="262d1e17-9b21-4a23-88b4-dc72bad7be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878</Words>
  <Characters>5009</Characters>
  <Application>Microsoft Office Word</Application>
  <DocSecurity>0</DocSecurity>
  <Lines>41</Lines>
  <Paragraphs>11</Paragraphs>
  <ScaleCrop>false</ScaleCrop>
  <Company/>
  <LinksUpToDate>false</LinksUpToDate>
  <CharactersWithSpaces>5876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Kaylynn LIM (MDDI)</dc:creator>
  <cp:keywords/>
  <dc:description/>
  <cp:lastModifiedBy>Rebekah TAN (MDDI)</cp:lastModifiedBy>
  <cp:revision>3</cp:revision>
  <dcterms:created xsi:type="dcterms:W3CDTF">2026-06-16T02:52:00Z</dcterms:created>
  <dcterms:modified xsi:type="dcterms:W3CDTF">2026-06-16T03:03:00Z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803508-8490-4252-b331-d9b72689e942_Enabled">
    <vt:lpwstr>true</vt:lpwstr>
  </property>
  <property fmtid="{D5CDD505-2E9C-101B-9397-08002B2CF9AE}" pid="3" name="MSIP_Label_54803508-8490-4252-b331-d9b72689e942_SetDate">
    <vt:lpwstr>2025-09-07T09:23:04Z</vt:lpwstr>
  </property>
  <property fmtid="{D5CDD505-2E9C-101B-9397-08002B2CF9AE}" pid="4" name="MSIP_Label_54803508-8490-4252-b331-d9b72689e942_Method">
    <vt:lpwstr>Privileged</vt:lpwstr>
  </property>
  <property fmtid="{D5CDD505-2E9C-101B-9397-08002B2CF9AE}" pid="5" name="MSIP_Label_54803508-8490-4252-b331-d9b72689e942_Name">
    <vt:lpwstr>Non Sensitive_0</vt:lpwstr>
  </property>
  <property fmtid="{D5CDD505-2E9C-101B-9397-08002B2CF9AE}" pid="6" name="MSIP_Label_54803508-8490-4252-b331-d9b72689e942_SiteId">
    <vt:lpwstr>0b11c524-9a1c-4e1b-84cb-6336aefc2243</vt:lpwstr>
  </property>
  <property fmtid="{D5CDD505-2E9C-101B-9397-08002B2CF9AE}" pid="7" name="MSIP_Label_54803508-8490-4252-b331-d9b72689e942_ActionId">
    <vt:lpwstr>88db02cc-52b2-4d6b-8369-1b10ed3cfcfd</vt:lpwstr>
  </property>
  <property fmtid="{D5CDD505-2E9C-101B-9397-08002B2CF9AE}" pid="8" name="MSIP_Label_54803508-8490-4252-b331-d9b72689e942_ContentBits">
    <vt:lpwstr>0</vt:lpwstr>
  </property>
  <property fmtid="{D5CDD505-2E9C-101B-9397-08002B2CF9AE}" pid="9" name="MSIP_Label_54803508-8490-4252-b331-d9b72689e942_Tag">
    <vt:lpwstr>10, 0, 1, 2</vt:lpwstr>
  </property>
  <property fmtid="{D5CDD505-2E9C-101B-9397-08002B2CF9AE}" pid="10" name="ContentTypeId">
    <vt:lpwstr>0x0101000C5C171E9B8F574CB5840FD574ECC8B1</vt:lpwstr>
  </property>
  <property fmtid="{D5CDD505-2E9C-101B-9397-08002B2CF9AE}" pid="11" name="MediaServiceImageTags">
    <vt:lpwstr/>
  </property>
</Properties>
</file>